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8C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bookmarkStart w:id="0" w:name="_GoBack"/>
      <w:r w:rsidRPr="006658C7">
        <w:rPr>
          <w:rFonts w:ascii="Times New Roman" w:hAnsi="Times New Roman"/>
          <w:color w:val="000000" w:themeColor="text1"/>
          <w:sz w:val="28"/>
          <w:szCs w:val="28"/>
          <w:lang w:val="en-US"/>
        </w:rPr>
        <w:t>“APPROVED”</w:t>
      </w:r>
    </w:p>
    <w:p w:rsidR="006658C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proofErr w:type="gramStart"/>
      <w:r w:rsidRPr="006658C7">
        <w:rPr>
          <w:rFonts w:ascii="Times New Roman" w:hAnsi="Times New Roman"/>
          <w:color w:val="000000" w:themeColor="text1"/>
          <w:sz w:val="28"/>
          <w:szCs w:val="28"/>
          <w:lang w:val="en-US"/>
        </w:rPr>
        <w:t>by</w:t>
      </w:r>
      <w:proofErr w:type="gramEnd"/>
      <w:r w:rsidRPr="006658C7">
        <w:rPr>
          <w:rFonts w:ascii="Times New Roman" w:hAnsi="Times New Roman"/>
          <w:color w:val="000000" w:themeColor="text1"/>
          <w:sz w:val="28"/>
          <w:szCs w:val="28"/>
          <w:lang w:val="en-US"/>
        </w:rPr>
        <w:t xml:space="preserve"> the resolution of the Management Board</w:t>
      </w:r>
    </w:p>
    <w:p w:rsidR="006658C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proofErr w:type="gramStart"/>
      <w:r w:rsidRPr="006658C7">
        <w:rPr>
          <w:rFonts w:ascii="Times New Roman" w:hAnsi="Times New Roman"/>
          <w:color w:val="000000" w:themeColor="text1"/>
          <w:sz w:val="28"/>
          <w:szCs w:val="28"/>
          <w:lang w:val="en-US"/>
        </w:rPr>
        <w:t>of</w:t>
      </w:r>
      <w:proofErr w:type="gramEnd"/>
      <w:r w:rsidRPr="006658C7">
        <w:rPr>
          <w:rFonts w:ascii="Times New Roman" w:hAnsi="Times New Roman"/>
          <w:color w:val="000000" w:themeColor="text1"/>
          <w:sz w:val="28"/>
          <w:szCs w:val="28"/>
          <w:lang w:val="en-US"/>
        </w:rPr>
        <w:t xml:space="preserve"> the Joint Stock Company</w:t>
      </w:r>
    </w:p>
    <w:p w:rsidR="006F563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r w:rsidRPr="006658C7">
        <w:rPr>
          <w:rFonts w:ascii="Times New Roman" w:hAnsi="Times New Roman"/>
          <w:color w:val="000000" w:themeColor="text1"/>
          <w:sz w:val="28"/>
          <w:szCs w:val="28"/>
          <w:lang w:val="en-US"/>
        </w:rPr>
        <w:t>“Entrepreneurship Development Fund ‘</w:t>
      </w:r>
      <w:proofErr w:type="spellStart"/>
      <w:r w:rsidRPr="006658C7">
        <w:rPr>
          <w:rFonts w:ascii="Times New Roman" w:hAnsi="Times New Roman"/>
          <w:color w:val="000000" w:themeColor="text1"/>
          <w:sz w:val="28"/>
          <w:szCs w:val="28"/>
          <w:lang w:val="en-US"/>
        </w:rPr>
        <w:t>Damu</w:t>
      </w:r>
      <w:proofErr w:type="spellEnd"/>
      <w:r w:rsidRPr="006658C7">
        <w:rPr>
          <w:rFonts w:ascii="Times New Roman" w:hAnsi="Times New Roman"/>
          <w:color w:val="000000" w:themeColor="text1"/>
          <w:sz w:val="28"/>
          <w:szCs w:val="28"/>
          <w:lang w:val="en-US"/>
        </w:rPr>
        <w:t>’”</w:t>
      </w:r>
    </w:p>
    <w:p w:rsidR="006F5637" w:rsidRPr="006658C7" w:rsidRDefault="006F5637" w:rsidP="006658C7">
      <w:pPr>
        <w:pStyle w:val="a3"/>
        <w:tabs>
          <w:tab w:val="left" w:pos="567"/>
        </w:tabs>
        <w:spacing w:after="0" w:line="240" w:lineRule="auto"/>
        <w:jc w:val="right"/>
        <w:rPr>
          <w:rFonts w:ascii="Times New Roman" w:hAnsi="Times New Roman"/>
          <w:color w:val="000000" w:themeColor="text1"/>
          <w:sz w:val="28"/>
          <w:szCs w:val="28"/>
          <w:lang w:val="en-US"/>
        </w:rPr>
      </w:pPr>
    </w:p>
    <w:p w:rsidR="006658C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r w:rsidRPr="006658C7">
        <w:rPr>
          <w:rFonts w:ascii="Times New Roman" w:hAnsi="Times New Roman"/>
          <w:color w:val="000000" w:themeColor="text1"/>
          <w:sz w:val="28"/>
          <w:szCs w:val="28"/>
          <w:lang w:val="en-US"/>
        </w:rPr>
        <w:t>Appendix No. 5</w:t>
      </w:r>
    </w:p>
    <w:p w:rsidR="006658C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proofErr w:type="gramStart"/>
      <w:r w:rsidRPr="006658C7">
        <w:rPr>
          <w:rFonts w:ascii="Times New Roman" w:hAnsi="Times New Roman"/>
          <w:color w:val="000000" w:themeColor="text1"/>
          <w:sz w:val="28"/>
          <w:szCs w:val="28"/>
          <w:lang w:val="en-US"/>
        </w:rPr>
        <w:t>to</w:t>
      </w:r>
      <w:proofErr w:type="gramEnd"/>
      <w:r w:rsidRPr="006658C7">
        <w:rPr>
          <w:rFonts w:ascii="Times New Roman" w:hAnsi="Times New Roman"/>
          <w:color w:val="000000" w:themeColor="text1"/>
          <w:sz w:val="28"/>
          <w:szCs w:val="28"/>
          <w:lang w:val="en-US"/>
        </w:rPr>
        <w:t xml:space="preserve"> the minutes of the meeting of the</w:t>
      </w:r>
    </w:p>
    <w:p w:rsidR="006658C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r w:rsidRPr="006658C7">
        <w:rPr>
          <w:rFonts w:ascii="Times New Roman" w:hAnsi="Times New Roman"/>
          <w:color w:val="000000" w:themeColor="text1"/>
          <w:sz w:val="28"/>
          <w:szCs w:val="28"/>
          <w:lang w:val="en-US"/>
        </w:rPr>
        <w:t>Management Board of the Joint Stock Company</w:t>
      </w:r>
    </w:p>
    <w:p w:rsidR="006658C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r w:rsidRPr="006658C7">
        <w:rPr>
          <w:rFonts w:ascii="Times New Roman" w:hAnsi="Times New Roman"/>
          <w:color w:val="000000" w:themeColor="text1"/>
          <w:sz w:val="28"/>
          <w:szCs w:val="28"/>
          <w:lang w:val="en-US"/>
        </w:rPr>
        <w:t>“Entrepreneurship Development Fund ‘</w:t>
      </w:r>
      <w:proofErr w:type="spellStart"/>
      <w:r w:rsidRPr="006658C7">
        <w:rPr>
          <w:rFonts w:ascii="Times New Roman" w:hAnsi="Times New Roman"/>
          <w:color w:val="000000" w:themeColor="text1"/>
          <w:sz w:val="28"/>
          <w:szCs w:val="28"/>
          <w:lang w:val="en-US"/>
        </w:rPr>
        <w:t>Damu</w:t>
      </w:r>
      <w:proofErr w:type="spellEnd"/>
      <w:r w:rsidRPr="006658C7">
        <w:rPr>
          <w:rFonts w:ascii="Times New Roman" w:hAnsi="Times New Roman"/>
          <w:color w:val="000000" w:themeColor="text1"/>
          <w:sz w:val="28"/>
          <w:szCs w:val="28"/>
          <w:lang w:val="en-US"/>
        </w:rPr>
        <w:t>’”</w:t>
      </w:r>
    </w:p>
    <w:p w:rsidR="006F5637" w:rsidRPr="006658C7" w:rsidRDefault="006658C7" w:rsidP="006658C7">
      <w:pPr>
        <w:pStyle w:val="a3"/>
        <w:tabs>
          <w:tab w:val="left" w:pos="567"/>
        </w:tabs>
        <w:spacing w:after="0" w:line="240" w:lineRule="auto"/>
        <w:jc w:val="right"/>
        <w:rPr>
          <w:rFonts w:ascii="Times New Roman" w:hAnsi="Times New Roman"/>
          <w:color w:val="000000" w:themeColor="text1"/>
          <w:sz w:val="28"/>
          <w:szCs w:val="28"/>
          <w:lang w:val="en-US"/>
        </w:rPr>
      </w:pPr>
      <w:proofErr w:type="gramStart"/>
      <w:r w:rsidRPr="006658C7">
        <w:rPr>
          <w:rFonts w:ascii="Times New Roman" w:hAnsi="Times New Roman"/>
          <w:color w:val="000000" w:themeColor="text1"/>
          <w:sz w:val="28"/>
          <w:szCs w:val="28"/>
          <w:lang w:val="en-US"/>
        </w:rPr>
        <w:t>dated</w:t>
      </w:r>
      <w:proofErr w:type="gramEnd"/>
      <w:r w:rsidRPr="006658C7">
        <w:rPr>
          <w:rFonts w:ascii="Times New Roman" w:hAnsi="Times New Roman"/>
          <w:color w:val="000000" w:themeColor="text1"/>
          <w:sz w:val="28"/>
          <w:szCs w:val="28"/>
          <w:lang w:val="en-US"/>
        </w:rPr>
        <w:t xml:space="preserve"> 30 November 2023, No. 91/2023</w:t>
      </w:r>
    </w:p>
    <w:p w:rsidR="006F5637" w:rsidRPr="006658C7" w:rsidRDefault="006F5637" w:rsidP="006F5637">
      <w:pPr>
        <w:pStyle w:val="a3"/>
        <w:tabs>
          <w:tab w:val="left" w:pos="567"/>
        </w:tabs>
        <w:spacing w:after="0" w:line="240" w:lineRule="auto"/>
        <w:jc w:val="center"/>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jc w:val="center"/>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jc w:val="center"/>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jc w:val="center"/>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jc w:val="center"/>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jc w:val="center"/>
        <w:rPr>
          <w:rFonts w:ascii="Times New Roman" w:hAnsi="Times New Roman"/>
          <w:color w:val="000000" w:themeColor="text1"/>
          <w:sz w:val="28"/>
          <w:szCs w:val="28"/>
          <w:lang w:val="en-US"/>
        </w:rPr>
      </w:pPr>
    </w:p>
    <w:p w:rsidR="006F5637" w:rsidRPr="006658C7" w:rsidRDefault="006F5637" w:rsidP="006F5637">
      <w:pPr>
        <w:pStyle w:val="a3"/>
        <w:tabs>
          <w:tab w:val="left" w:pos="567"/>
        </w:tabs>
        <w:spacing w:after="0" w:line="240" w:lineRule="auto"/>
        <w:jc w:val="center"/>
        <w:rPr>
          <w:rFonts w:ascii="Times New Roman" w:hAnsi="Times New Roman"/>
          <w:color w:val="000000" w:themeColor="text1"/>
          <w:sz w:val="40"/>
          <w:szCs w:val="40"/>
          <w:lang w:val="en-US"/>
        </w:rPr>
      </w:pPr>
    </w:p>
    <w:p w:rsidR="001B39EE" w:rsidRPr="006658C7" w:rsidRDefault="006658C7" w:rsidP="006F5637">
      <w:pPr>
        <w:pStyle w:val="a3"/>
        <w:tabs>
          <w:tab w:val="left" w:pos="567"/>
        </w:tabs>
        <w:spacing w:after="0" w:line="240" w:lineRule="auto"/>
        <w:jc w:val="center"/>
        <w:rPr>
          <w:rFonts w:ascii="Times New Roman" w:hAnsi="Times New Roman"/>
          <w:b/>
          <w:color w:val="000000" w:themeColor="text1"/>
          <w:sz w:val="40"/>
          <w:szCs w:val="40"/>
          <w:lang w:val="en-US"/>
        </w:rPr>
      </w:pPr>
      <w:r w:rsidRPr="006658C7">
        <w:rPr>
          <w:rFonts w:ascii="Times New Roman" w:hAnsi="Times New Roman"/>
          <w:b/>
          <w:color w:val="000000" w:themeColor="text1"/>
          <w:sz w:val="40"/>
          <w:szCs w:val="40"/>
          <w:lang w:val="en-US"/>
        </w:rPr>
        <w:t>ESG Initiatives Roadmap</w:t>
      </w:r>
      <w:r w:rsidR="00EC2BD2" w:rsidRPr="006658C7">
        <w:rPr>
          <w:rFonts w:ascii="Times New Roman" w:hAnsi="Times New Roman"/>
          <w:b/>
          <w:color w:val="000000" w:themeColor="text1"/>
          <w:sz w:val="40"/>
          <w:szCs w:val="40"/>
          <w:lang w:val="en-US"/>
        </w:rPr>
        <w:t xml:space="preserve"> </w:t>
      </w:r>
    </w:p>
    <w:p w:rsidR="006F5637" w:rsidRPr="006658C7" w:rsidRDefault="006658C7" w:rsidP="006F5637">
      <w:pPr>
        <w:pStyle w:val="a3"/>
        <w:tabs>
          <w:tab w:val="left" w:pos="567"/>
        </w:tabs>
        <w:spacing w:after="0" w:line="240" w:lineRule="auto"/>
        <w:jc w:val="center"/>
        <w:rPr>
          <w:rFonts w:ascii="Times New Roman" w:hAnsi="Times New Roman"/>
          <w:b/>
          <w:color w:val="000000" w:themeColor="text1"/>
          <w:sz w:val="40"/>
          <w:szCs w:val="40"/>
          <w:lang w:val="en-US"/>
        </w:rPr>
      </w:pPr>
      <w:proofErr w:type="gramStart"/>
      <w:r w:rsidRPr="006658C7">
        <w:rPr>
          <w:rFonts w:ascii="Times New Roman" w:hAnsi="Times New Roman"/>
          <w:b/>
          <w:color w:val="000000" w:themeColor="text1"/>
          <w:sz w:val="40"/>
          <w:szCs w:val="40"/>
          <w:lang w:val="en-US"/>
        </w:rPr>
        <w:t>of</w:t>
      </w:r>
      <w:proofErr w:type="gramEnd"/>
      <w:r w:rsidRPr="006658C7">
        <w:rPr>
          <w:rFonts w:ascii="Times New Roman" w:hAnsi="Times New Roman"/>
          <w:b/>
          <w:color w:val="000000" w:themeColor="text1"/>
          <w:sz w:val="40"/>
          <w:szCs w:val="40"/>
          <w:lang w:val="en-US"/>
        </w:rPr>
        <w:t xml:space="preserve"> the</w:t>
      </w:r>
      <w:r w:rsidRPr="00293A1F">
        <w:rPr>
          <w:lang w:val="en-US"/>
        </w:rPr>
        <w:t xml:space="preserve"> </w:t>
      </w:r>
      <w:r w:rsidRPr="006658C7">
        <w:rPr>
          <w:rFonts w:ascii="Times New Roman" w:hAnsi="Times New Roman"/>
          <w:b/>
          <w:color w:val="000000" w:themeColor="text1"/>
          <w:sz w:val="40"/>
          <w:szCs w:val="40"/>
          <w:lang w:val="en-US"/>
        </w:rPr>
        <w:t>“Entrepreneurship Development Fund ‘</w:t>
      </w:r>
      <w:proofErr w:type="spellStart"/>
      <w:r w:rsidRPr="006658C7">
        <w:rPr>
          <w:rFonts w:ascii="Times New Roman" w:hAnsi="Times New Roman"/>
          <w:b/>
          <w:color w:val="000000" w:themeColor="text1"/>
          <w:sz w:val="40"/>
          <w:szCs w:val="40"/>
          <w:lang w:val="en-US"/>
        </w:rPr>
        <w:t>Damu</w:t>
      </w:r>
      <w:proofErr w:type="spellEnd"/>
      <w:r w:rsidRPr="006658C7">
        <w:rPr>
          <w:rFonts w:ascii="Times New Roman" w:hAnsi="Times New Roman"/>
          <w:b/>
          <w:color w:val="000000" w:themeColor="text1"/>
          <w:sz w:val="40"/>
          <w:szCs w:val="40"/>
          <w:lang w:val="en-US"/>
        </w:rPr>
        <w:t xml:space="preserve">’” Joint Stock Company </w:t>
      </w:r>
    </w:p>
    <w:p w:rsidR="006F5637" w:rsidRPr="00293A1F" w:rsidRDefault="00293A1F" w:rsidP="00193EE3">
      <w:pPr>
        <w:pStyle w:val="pc"/>
        <w:rPr>
          <w:i/>
          <w:color w:val="FF0000"/>
          <w:lang w:val="en-US"/>
        </w:rPr>
      </w:pPr>
      <w:r w:rsidRPr="00293A1F">
        <w:rPr>
          <w:i/>
          <w:color w:val="FF0000"/>
          <w:lang w:val="en-US"/>
        </w:rPr>
        <w:t>(</w:t>
      </w:r>
      <w:proofErr w:type="gramStart"/>
      <w:r w:rsidRPr="00293A1F">
        <w:rPr>
          <w:i/>
          <w:color w:val="FF0000"/>
          <w:lang w:val="en-US"/>
        </w:rPr>
        <w:t>as</w:t>
      </w:r>
      <w:proofErr w:type="gramEnd"/>
      <w:r w:rsidRPr="00293A1F">
        <w:rPr>
          <w:i/>
          <w:color w:val="FF0000"/>
          <w:lang w:val="en-US"/>
        </w:rPr>
        <w:t xml:space="preserve"> amended and supplemented as of 27 June 2024)</w:t>
      </w:r>
    </w:p>
    <w:p w:rsidR="006F5637" w:rsidRPr="00293A1F" w:rsidRDefault="006F5637" w:rsidP="006F5637">
      <w:pPr>
        <w:pStyle w:val="a3"/>
        <w:tabs>
          <w:tab w:val="left" w:pos="567"/>
        </w:tabs>
        <w:spacing w:after="0" w:line="240" w:lineRule="auto"/>
        <w:rPr>
          <w:rFonts w:ascii="Times New Roman" w:hAnsi="Times New Roman"/>
          <w:color w:val="FF0000"/>
          <w:sz w:val="24"/>
          <w:szCs w:val="24"/>
          <w:lang w:val="en-US"/>
        </w:rPr>
      </w:pPr>
    </w:p>
    <w:p w:rsidR="006F5637" w:rsidRPr="00293A1F" w:rsidRDefault="006F5637"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F010A4" w:rsidRPr="00293A1F" w:rsidRDefault="00F010A4" w:rsidP="006F5637">
      <w:pPr>
        <w:pStyle w:val="a3"/>
        <w:tabs>
          <w:tab w:val="left" w:pos="567"/>
        </w:tabs>
        <w:spacing w:after="0" w:line="240" w:lineRule="auto"/>
        <w:rPr>
          <w:rFonts w:ascii="Times New Roman" w:hAnsi="Times New Roman"/>
          <w:color w:val="000000" w:themeColor="text1"/>
          <w:sz w:val="28"/>
          <w:szCs w:val="28"/>
          <w:lang w:val="en-US"/>
        </w:rPr>
      </w:pPr>
    </w:p>
    <w:p w:rsidR="006658C7" w:rsidRPr="00293A1F" w:rsidRDefault="006658C7" w:rsidP="00914A8E">
      <w:pPr>
        <w:spacing w:after="0" w:line="240" w:lineRule="auto"/>
        <w:ind w:firstLine="708"/>
        <w:jc w:val="both"/>
        <w:rPr>
          <w:rFonts w:ascii="Times New Roman" w:hAnsi="Times New Roman" w:cs="Times New Roman"/>
          <w:color w:val="000000" w:themeColor="text1"/>
          <w:sz w:val="24"/>
          <w:szCs w:val="24"/>
          <w:lang w:val="en-US"/>
        </w:rPr>
      </w:pPr>
    </w:p>
    <w:p w:rsidR="00234527" w:rsidRPr="00293A1F" w:rsidRDefault="00293A1F" w:rsidP="00914A8E">
      <w:pPr>
        <w:spacing w:after="0" w:line="240" w:lineRule="auto"/>
        <w:ind w:firstLine="708"/>
        <w:jc w:val="both"/>
        <w:rPr>
          <w:rFonts w:ascii="Times New Roman" w:hAnsi="Times New Roman" w:cs="Times New Roman"/>
          <w:color w:val="000000" w:themeColor="text1"/>
          <w:sz w:val="24"/>
          <w:szCs w:val="24"/>
          <w:lang w:val="en-US"/>
        </w:rPr>
      </w:pPr>
      <w:r w:rsidRPr="00293A1F">
        <w:rPr>
          <w:rFonts w:ascii="Times New Roman" w:hAnsi="Times New Roman" w:cs="Times New Roman"/>
          <w:color w:val="000000" w:themeColor="text1"/>
          <w:sz w:val="24"/>
          <w:szCs w:val="24"/>
          <w:lang w:val="en-US"/>
        </w:rPr>
        <w:t xml:space="preserve">In his Address to the Nation dated 1 September 2023, entitled “The Economic Course of a Just Kazakhstan,” President </w:t>
      </w:r>
      <w:proofErr w:type="spellStart"/>
      <w:r w:rsidRPr="00293A1F">
        <w:rPr>
          <w:rFonts w:ascii="Times New Roman" w:hAnsi="Times New Roman" w:cs="Times New Roman"/>
          <w:color w:val="000000" w:themeColor="text1"/>
          <w:sz w:val="24"/>
          <w:szCs w:val="24"/>
          <w:lang w:val="en-US"/>
        </w:rPr>
        <w:t>Kassym-Jomart</w:t>
      </w:r>
      <w:proofErr w:type="spellEnd"/>
      <w:r w:rsidRPr="00293A1F">
        <w:rPr>
          <w:rFonts w:ascii="Times New Roman" w:hAnsi="Times New Roman" w:cs="Times New Roman"/>
          <w:color w:val="000000" w:themeColor="text1"/>
          <w:sz w:val="24"/>
          <w:szCs w:val="24"/>
          <w:lang w:val="en-US"/>
        </w:rPr>
        <w:t xml:space="preserve"> </w:t>
      </w:r>
      <w:proofErr w:type="spellStart"/>
      <w:r w:rsidRPr="00293A1F">
        <w:rPr>
          <w:rFonts w:ascii="Times New Roman" w:hAnsi="Times New Roman" w:cs="Times New Roman"/>
          <w:color w:val="000000" w:themeColor="text1"/>
          <w:sz w:val="24"/>
          <w:szCs w:val="24"/>
          <w:lang w:val="en-US"/>
        </w:rPr>
        <w:t>Tokayev</w:t>
      </w:r>
      <w:proofErr w:type="spellEnd"/>
      <w:r w:rsidRPr="00293A1F">
        <w:rPr>
          <w:rFonts w:ascii="Times New Roman" w:hAnsi="Times New Roman" w:cs="Times New Roman"/>
          <w:color w:val="000000" w:themeColor="text1"/>
          <w:sz w:val="24"/>
          <w:szCs w:val="24"/>
          <w:lang w:val="en-US"/>
        </w:rPr>
        <w:t xml:space="preserve"> stated:</w:t>
      </w:r>
      <w:r w:rsidR="00234527" w:rsidRPr="00293A1F">
        <w:rPr>
          <w:rFonts w:ascii="Times New Roman" w:hAnsi="Times New Roman" w:cs="Times New Roman"/>
          <w:color w:val="000000" w:themeColor="text1"/>
          <w:sz w:val="24"/>
          <w:szCs w:val="24"/>
          <w:lang w:val="en-US"/>
        </w:rPr>
        <w:tab/>
      </w:r>
      <w:r w:rsidRPr="00293A1F">
        <w:rPr>
          <w:rFonts w:ascii="Times New Roman" w:hAnsi="Times New Roman" w:cs="Times New Roman"/>
          <w:color w:val="000000" w:themeColor="text1"/>
          <w:sz w:val="24"/>
          <w:szCs w:val="24"/>
          <w:lang w:val="en-US"/>
        </w:rPr>
        <w:t>“Attracting ‘green’ finance is becoming increasingly relevant for leading economies. Over the past seven years, more than two and a half trillion US dollars worldwide have been allocated to green bonds. ESG principles have, within a short period of time, evolved into standard prac</w:t>
      </w:r>
      <w:r>
        <w:rPr>
          <w:rFonts w:ascii="Times New Roman" w:hAnsi="Times New Roman" w:cs="Times New Roman"/>
          <w:color w:val="000000" w:themeColor="text1"/>
          <w:sz w:val="24"/>
          <w:szCs w:val="24"/>
          <w:lang w:val="en-US"/>
        </w:rPr>
        <w:t>tice for financial institutions</w:t>
      </w:r>
      <w:r w:rsidRPr="00293A1F">
        <w:rPr>
          <w:rFonts w:ascii="Times New Roman" w:hAnsi="Times New Roman" w:cs="Times New Roman"/>
          <w:color w:val="000000" w:themeColor="text1"/>
          <w:sz w:val="24"/>
          <w:szCs w:val="24"/>
          <w:lang w:val="en-US"/>
        </w:rPr>
        <w:t>”.</w:t>
      </w:r>
    </w:p>
    <w:p w:rsidR="00234527" w:rsidRPr="00293A1F" w:rsidRDefault="00293A1F" w:rsidP="00914A8E">
      <w:pPr>
        <w:spacing w:after="0" w:line="240" w:lineRule="auto"/>
        <w:ind w:firstLine="708"/>
        <w:jc w:val="both"/>
        <w:rPr>
          <w:rFonts w:ascii="Times New Roman" w:hAnsi="Times New Roman" w:cs="Times New Roman"/>
          <w:color w:val="000000" w:themeColor="text1"/>
          <w:sz w:val="24"/>
          <w:szCs w:val="24"/>
          <w:lang w:val="en-US"/>
        </w:rPr>
      </w:pPr>
      <w:r w:rsidRPr="00293A1F">
        <w:rPr>
          <w:rFonts w:ascii="Times New Roman" w:hAnsi="Times New Roman" w:cs="Times New Roman"/>
          <w:color w:val="000000" w:themeColor="text1"/>
          <w:sz w:val="24"/>
          <w:szCs w:val="24"/>
          <w:lang w:val="en-US"/>
        </w:rPr>
        <w:t>The Joint Stock Company “Entrepreneurship Development Fund ‘</w:t>
      </w:r>
      <w:proofErr w:type="spellStart"/>
      <w:r w:rsidRPr="00293A1F">
        <w:rPr>
          <w:rFonts w:ascii="Times New Roman" w:hAnsi="Times New Roman" w:cs="Times New Roman"/>
          <w:color w:val="000000" w:themeColor="text1"/>
          <w:sz w:val="24"/>
          <w:szCs w:val="24"/>
          <w:lang w:val="en-US"/>
        </w:rPr>
        <w:t>Damu</w:t>
      </w:r>
      <w:proofErr w:type="spellEnd"/>
      <w:r w:rsidRPr="00293A1F">
        <w:rPr>
          <w:rFonts w:ascii="Times New Roman" w:hAnsi="Times New Roman" w:cs="Times New Roman"/>
          <w:color w:val="000000" w:themeColor="text1"/>
          <w:sz w:val="24"/>
          <w:szCs w:val="24"/>
          <w:lang w:val="en-US"/>
        </w:rPr>
        <w:t xml:space="preserve">’” (hereinafter referred to as the Fund), as a socially responsible organization implementing comprehensive state financial support measures for entrepreneurship in Kazakhstan and its regions, is, within the scope of its activities, engaged in addressing environmental, social, and corporate governance issues (Environmental, Social and Corporate Governance, </w:t>
      </w:r>
      <w:r>
        <w:rPr>
          <w:rFonts w:ascii="Times New Roman" w:hAnsi="Times New Roman" w:cs="Times New Roman"/>
          <w:color w:val="000000" w:themeColor="text1"/>
          <w:sz w:val="24"/>
          <w:szCs w:val="24"/>
          <w:lang w:val="en-US"/>
        </w:rPr>
        <w:t>hereinafter referred to as ESG)</w:t>
      </w:r>
      <w:r w:rsidR="00234527" w:rsidRPr="00293A1F">
        <w:rPr>
          <w:rFonts w:ascii="Times New Roman" w:hAnsi="Times New Roman" w:cs="Times New Roman"/>
          <w:color w:val="000000" w:themeColor="text1"/>
          <w:sz w:val="24"/>
          <w:szCs w:val="24"/>
          <w:lang w:val="en-US"/>
        </w:rPr>
        <w:t>.</w:t>
      </w:r>
      <w:r w:rsidRPr="00293A1F">
        <w:rPr>
          <w:rFonts w:ascii="Times New Roman" w:hAnsi="Times New Roman" w:cs="Times New Roman"/>
          <w:color w:val="000000" w:themeColor="text1"/>
          <w:sz w:val="24"/>
          <w:szCs w:val="24"/>
          <w:lang w:val="en-US"/>
        </w:rPr>
        <w:t xml:space="preserve"> The Fund seeks to actively support sustainable development initiatives by implementing best practices and continuously improving its internal regulatory documents in the areas of corporate and social responsibility, sustainable development, as well as environmental and gender policies.</w:t>
      </w:r>
    </w:p>
    <w:p w:rsidR="00234527" w:rsidRPr="005C2AC0" w:rsidRDefault="00293A1F" w:rsidP="00914A8E">
      <w:pPr>
        <w:spacing w:after="0" w:line="240" w:lineRule="auto"/>
        <w:ind w:firstLine="708"/>
        <w:jc w:val="both"/>
        <w:rPr>
          <w:rFonts w:ascii="Times New Roman" w:hAnsi="Times New Roman" w:cs="Times New Roman"/>
          <w:color w:val="000000" w:themeColor="text1"/>
          <w:sz w:val="24"/>
          <w:szCs w:val="24"/>
          <w:lang w:val="kk-KZ"/>
        </w:rPr>
      </w:pPr>
      <w:r w:rsidRPr="00293A1F">
        <w:rPr>
          <w:rFonts w:ascii="Times New Roman" w:hAnsi="Times New Roman" w:cs="Times New Roman"/>
          <w:color w:val="000000" w:themeColor="text1"/>
          <w:sz w:val="24"/>
          <w:szCs w:val="24"/>
          <w:lang w:val="en-US"/>
        </w:rPr>
        <w:t>As of today, the Fund already discloses ESG information as part of its annual report in accordance with the principles of the Global Reporting Initiative (GRI) International Sustainability Reporting Standards and the Kazakhstan Stock Exchange (KASE) requirements for information disclosure in the annual reports of listed companies</w:t>
      </w:r>
      <w:proofErr w:type="gramStart"/>
      <w:r w:rsidRPr="00293A1F">
        <w:rPr>
          <w:rFonts w:ascii="Times New Roman" w:hAnsi="Times New Roman" w:cs="Times New Roman"/>
          <w:color w:val="000000" w:themeColor="text1"/>
          <w:sz w:val="24"/>
          <w:szCs w:val="24"/>
          <w:lang w:val="en-US"/>
        </w:rPr>
        <w:t>.</w:t>
      </w:r>
      <w:r w:rsidR="00234527" w:rsidRPr="00293A1F">
        <w:rPr>
          <w:rFonts w:ascii="Times New Roman" w:hAnsi="Times New Roman" w:cs="Times New Roman"/>
          <w:color w:val="000000" w:themeColor="text1"/>
          <w:sz w:val="24"/>
          <w:szCs w:val="24"/>
          <w:lang w:val="en-US"/>
        </w:rPr>
        <w:t>.</w:t>
      </w:r>
      <w:proofErr w:type="gramEnd"/>
    </w:p>
    <w:p w:rsidR="00234527" w:rsidRPr="00B806AB" w:rsidRDefault="00B806AB" w:rsidP="00E5233F">
      <w:pPr>
        <w:spacing w:after="0" w:line="240" w:lineRule="auto"/>
        <w:ind w:firstLine="708"/>
        <w:jc w:val="both"/>
        <w:rPr>
          <w:rFonts w:ascii="Times New Roman" w:hAnsi="Times New Roman" w:cs="Times New Roman"/>
          <w:color w:val="000000" w:themeColor="text1"/>
          <w:sz w:val="24"/>
          <w:szCs w:val="24"/>
          <w:lang w:val="en-US"/>
        </w:rPr>
      </w:pPr>
      <w:r w:rsidRPr="00B806AB">
        <w:rPr>
          <w:rFonts w:ascii="Times New Roman" w:hAnsi="Times New Roman" w:cs="Times New Roman"/>
          <w:color w:val="000000" w:themeColor="text1"/>
          <w:sz w:val="24"/>
          <w:szCs w:val="24"/>
          <w:lang w:val="en-US"/>
        </w:rPr>
        <w:t>In carrying out its activities, the Fund seeks to contribute to the achievement of the United Nations Sustainable Development Goals (UN SDGs). As part of its internal assessment, the Fund currently takes into account 14 out of the 17 UN SDGs, while continuing to enhance and advance its sustainable development initiatives.</w:t>
      </w:r>
    </w:p>
    <w:p w:rsidR="00234527" w:rsidRPr="00B806AB" w:rsidRDefault="00B806AB" w:rsidP="00914A8E">
      <w:pPr>
        <w:spacing w:after="0" w:line="240" w:lineRule="auto"/>
        <w:ind w:firstLine="708"/>
        <w:jc w:val="both"/>
        <w:rPr>
          <w:rFonts w:ascii="Times New Roman" w:hAnsi="Times New Roman" w:cs="Times New Roman"/>
          <w:color w:val="000000" w:themeColor="text1"/>
          <w:sz w:val="24"/>
          <w:szCs w:val="24"/>
          <w:lang w:val="en-US"/>
        </w:rPr>
      </w:pPr>
      <w:r w:rsidRPr="00B806AB">
        <w:rPr>
          <w:rFonts w:ascii="Times New Roman" w:hAnsi="Times New Roman" w:cs="Times New Roman"/>
          <w:color w:val="000000" w:themeColor="text1"/>
          <w:sz w:val="24"/>
          <w:szCs w:val="24"/>
          <w:lang w:val="en-US"/>
        </w:rPr>
        <w:t xml:space="preserve">A key instrument for assessing the effectiveness of ESG integration into a company’s operations is a sustainability rating. Moreover, such a rating is aimed at identifying a company’s risks and opportunities in order to determine </w:t>
      </w:r>
      <w:r>
        <w:rPr>
          <w:rFonts w:ascii="Times New Roman" w:hAnsi="Times New Roman" w:cs="Times New Roman"/>
          <w:color w:val="000000" w:themeColor="text1"/>
          <w:sz w:val="24"/>
          <w:szCs w:val="24"/>
          <w:lang w:val="en-US"/>
        </w:rPr>
        <w:t>its long-term resilience</w:t>
      </w:r>
      <w:r w:rsidR="00234527" w:rsidRPr="00B806AB">
        <w:rPr>
          <w:rFonts w:ascii="Times New Roman" w:hAnsi="Times New Roman" w:cs="Times New Roman"/>
          <w:color w:val="000000" w:themeColor="text1"/>
          <w:sz w:val="24"/>
          <w:szCs w:val="24"/>
          <w:lang w:val="en-US"/>
        </w:rPr>
        <w:t>.</w:t>
      </w:r>
      <w:r w:rsidRPr="00B806AB">
        <w:rPr>
          <w:rFonts w:ascii="Times New Roman" w:hAnsi="Times New Roman" w:cs="Times New Roman"/>
          <w:color w:val="000000" w:themeColor="text1"/>
          <w:sz w:val="24"/>
          <w:szCs w:val="24"/>
          <w:lang w:val="en-US"/>
        </w:rPr>
        <w:t xml:space="preserve"> In this regard, in August 2023, the international rating agency S&amp;P Global Corporate Sustainability Assessment assigned the Fund a score of 22. In accordance with the draft Development Strategy of the Fund for the upcoming ten-year period (2024–2033), the sustainability rating is one of the key strategic performance indicators of the Fund in the field of sustainable development. A high rating level will contribute to strengthening the Fund’s reputation and enhancing its public image.</w:t>
      </w:r>
    </w:p>
    <w:p w:rsidR="00914A8E" w:rsidRPr="00B806AB" w:rsidRDefault="00B806AB" w:rsidP="00914A8E">
      <w:pPr>
        <w:spacing w:after="0" w:line="240" w:lineRule="auto"/>
        <w:ind w:firstLine="708"/>
        <w:contextualSpacing/>
        <w:jc w:val="both"/>
        <w:rPr>
          <w:rFonts w:ascii="Times New Roman" w:hAnsi="Times New Roman" w:cs="Times New Roman"/>
          <w:color w:val="000000" w:themeColor="text1"/>
          <w:sz w:val="24"/>
          <w:szCs w:val="24"/>
          <w:lang w:val="en-US"/>
        </w:rPr>
      </w:pPr>
      <w:r w:rsidRPr="00B806AB">
        <w:rPr>
          <w:rFonts w:ascii="Times New Roman" w:hAnsi="Times New Roman" w:cs="Times New Roman"/>
          <w:color w:val="000000" w:themeColor="text1"/>
          <w:sz w:val="24"/>
          <w:szCs w:val="24"/>
          <w:lang w:val="en-US"/>
        </w:rPr>
        <w:t>For the purpose of integrating ESG initiatives into the Fund’s operations, engaging employees of each structural unit and the entire branch network in addressing environmental, social, and corporate governance (ESG) issues, as well as incorporating information on corporate social responsibility, sustainable development, and environmental and gender commitment into the Fund’s regulatory documents, this ESG Initiatives Roadmap of the Fund (hereinafter referred to as the Roadmap) has been developed.</w:t>
      </w:r>
    </w:p>
    <w:p w:rsidR="00914A8E" w:rsidRPr="00B806AB" w:rsidRDefault="00B806AB" w:rsidP="00914A8E">
      <w:pPr>
        <w:spacing w:after="0" w:line="240" w:lineRule="auto"/>
        <w:ind w:firstLine="708"/>
        <w:contextualSpacing/>
        <w:jc w:val="both"/>
        <w:rPr>
          <w:rFonts w:ascii="Times New Roman" w:hAnsi="Times New Roman" w:cs="Times New Roman"/>
          <w:color w:val="000000" w:themeColor="text1"/>
          <w:sz w:val="24"/>
          <w:szCs w:val="24"/>
          <w:lang w:val="en-US"/>
        </w:rPr>
      </w:pPr>
      <w:r w:rsidRPr="00B806AB">
        <w:rPr>
          <w:rFonts w:ascii="Times New Roman" w:hAnsi="Times New Roman" w:cs="Times New Roman"/>
          <w:color w:val="000000" w:themeColor="text1"/>
          <w:sz w:val="24"/>
          <w:szCs w:val="24"/>
          <w:lang w:val="en-US"/>
        </w:rPr>
        <w:t>The Roadmap sets out step-by-step tasks with the designation of responsible structural units, implementation timelines, and the form of completion for each task.</w:t>
      </w:r>
      <w:r w:rsidR="00914A8E" w:rsidRPr="00B806AB">
        <w:rPr>
          <w:rFonts w:ascii="Times New Roman" w:hAnsi="Times New Roman" w:cs="Times New Roman"/>
          <w:color w:val="000000" w:themeColor="text1"/>
          <w:sz w:val="24"/>
          <w:szCs w:val="24"/>
          <w:lang w:val="en-US"/>
        </w:rPr>
        <w:t xml:space="preserve"> </w:t>
      </w:r>
    </w:p>
    <w:p w:rsidR="00602C76" w:rsidRPr="00B806AB" w:rsidRDefault="00C92752" w:rsidP="00B806AB">
      <w:pPr>
        <w:pStyle w:val="a3"/>
        <w:tabs>
          <w:tab w:val="left" w:pos="567"/>
        </w:tabs>
        <w:spacing w:after="0" w:line="240" w:lineRule="auto"/>
        <w:rPr>
          <w:rFonts w:ascii="Times New Roman" w:hAnsi="Times New Roman"/>
          <w:color w:val="000000" w:themeColor="text1"/>
          <w:sz w:val="24"/>
          <w:szCs w:val="24"/>
          <w:lang w:val="en-US"/>
        </w:rPr>
      </w:pPr>
      <w:r w:rsidRPr="00B806AB">
        <w:rPr>
          <w:rFonts w:ascii="Times New Roman" w:hAnsi="Times New Roman"/>
          <w:color w:val="000000" w:themeColor="text1"/>
          <w:sz w:val="24"/>
          <w:szCs w:val="24"/>
          <w:lang w:val="en-US"/>
        </w:rPr>
        <w:tab/>
      </w:r>
      <w:r w:rsidR="00B806AB" w:rsidRPr="00B806AB">
        <w:rPr>
          <w:rFonts w:ascii="Times New Roman" w:hAnsi="Times New Roman"/>
          <w:color w:val="000000" w:themeColor="text1"/>
          <w:sz w:val="24"/>
          <w:szCs w:val="24"/>
          <w:lang w:val="en-US"/>
        </w:rPr>
        <w:t>Monitoring of the implementation of the tasks set forth in the Roadmap will be carried out on an annual basis, and the results of implementation will be submitted for consideration by the Management Board of the Fund.</w:t>
      </w:r>
    </w:p>
    <w:p w:rsidR="00594798" w:rsidRPr="00B806AB" w:rsidRDefault="00C92752" w:rsidP="00914A8E">
      <w:pPr>
        <w:pStyle w:val="a3"/>
        <w:tabs>
          <w:tab w:val="left" w:pos="567"/>
        </w:tabs>
        <w:spacing w:after="0" w:line="240" w:lineRule="auto"/>
        <w:rPr>
          <w:rFonts w:ascii="Times New Roman" w:hAnsi="Times New Roman"/>
          <w:color w:val="000000" w:themeColor="text1"/>
          <w:sz w:val="24"/>
          <w:szCs w:val="24"/>
          <w:lang w:val="en-US"/>
        </w:rPr>
      </w:pPr>
      <w:r w:rsidRPr="00B806AB">
        <w:rPr>
          <w:rFonts w:ascii="Times New Roman" w:hAnsi="Times New Roman"/>
          <w:color w:val="000000" w:themeColor="text1"/>
          <w:sz w:val="24"/>
          <w:szCs w:val="24"/>
          <w:lang w:val="en-US"/>
        </w:rPr>
        <w:tab/>
      </w:r>
    </w:p>
    <w:p w:rsidR="000C37DC" w:rsidRPr="00B806AB" w:rsidRDefault="000C37DC" w:rsidP="00914A8E">
      <w:pPr>
        <w:pStyle w:val="a3"/>
        <w:tabs>
          <w:tab w:val="left" w:pos="567"/>
        </w:tabs>
        <w:spacing w:after="0" w:line="240" w:lineRule="auto"/>
        <w:rPr>
          <w:rFonts w:ascii="Times New Roman" w:hAnsi="Times New Roman"/>
          <w:color w:val="000000" w:themeColor="text1"/>
          <w:sz w:val="24"/>
          <w:szCs w:val="24"/>
          <w:lang w:val="en-US"/>
        </w:rPr>
      </w:pPr>
    </w:p>
    <w:p w:rsidR="000C37DC" w:rsidRPr="00B806AB" w:rsidRDefault="000C37DC" w:rsidP="00914A8E">
      <w:pPr>
        <w:pStyle w:val="a3"/>
        <w:tabs>
          <w:tab w:val="left" w:pos="567"/>
        </w:tabs>
        <w:spacing w:after="0" w:line="240" w:lineRule="auto"/>
        <w:rPr>
          <w:rFonts w:ascii="Times New Roman" w:hAnsi="Times New Roman"/>
          <w:color w:val="000000" w:themeColor="text1"/>
          <w:sz w:val="24"/>
          <w:szCs w:val="24"/>
          <w:lang w:val="en-US"/>
        </w:rPr>
      </w:pPr>
    </w:p>
    <w:p w:rsidR="000C37DC" w:rsidRPr="00B806AB" w:rsidRDefault="000C37DC" w:rsidP="00914A8E">
      <w:pPr>
        <w:pStyle w:val="a3"/>
        <w:tabs>
          <w:tab w:val="left" w:pos="567"/>
        </w:tabs>
        <w:spacing w:after="0" w:line="240" w:lineRule="auto"/>
        <w:rPr>
          <w:rFonts w:ascii="Times New Roman" w:hAnsi="Times New Roman"/>
          <w:color w:val="000000" w:themeColor="text1"/>
          <w:sz w:val="24"/>
          <w:szCs w:val="24"/>
          <w:lang w:val="en-US"/>
        </w:rPr>
      </w:pPr>
    </w:p>
    <w:p w:rsidR="000C37DC" w:rsidRPr="00B806AB" w:rsidRDefault="000C37DC" w:rsidP="00914A8E">
      <w:pPr>
        <w:pStyle w:val="a3"/>
        <w:tabs>
          <w:tab w:val="left" w:pos="567"/>
        </w:tabs>
        <w:spacing w:after="0" w:line="240" w:lineRule="auto"/>
        <w:rPr>
          <w:rFonts w:ascii="Times New Roman" w:hAnsi="Times New Roman"/>
          <w:color w:val="000000" w:themeColor="text1"/>
          <w:sz w:val="24"/>
          <w:szCs w:val="24"/>
          <w:lang w:val="en-US"/>
        </w:rPr>
      </w:pPr>
    </w:p>
    <w:p w:rsidR="000C37DC" w:rsidRPr="00B806AB" w:rsidRDefault="000C37DC" w:rsidP="00914A8E">
      <w:pPr>
        <w:pStyle w:val="a3"/>
        <w:tabs>
          <w:tab w:val="left" w:pos="567"/>
        </w:tabs>
        <w:spacing w:after="0" w:line="240" w:lineRule="auto"/>
        <w:rPr>
          <w:rFonts w:ascii="Times New Roman" w:hAnsi="Times New Roman"/>
          <w:color w:val="000000" w:themeColor="text1"/>
          <w:sz w:val="24"/>
          <w:szCs w:val="24"/>
          <w:lang w:val="en-US"/>
        </w:rPr>
      </w:pPr>
    </w:p>
    <w:p w:rsidR="000C37DC" w:rsidRPr="00B806AB" w:rsidRDefault="000C37DC" w:rsidP="00914A8E">
      <w:pPr>
        <w:pStyle w:val="a3"/>
        <w:tabs>
          <w:tab w:val="left" w:pos="567"/>
        </w:tabs>
        <w:spacing w:after="0" w:line="240" w:lineRule="auto"/>
        <w:rPr>
          <w:rFonts w:ascii="Times New Roman" w:hAnsi="Times New Roman"/>
          <w:color w:val="000000" w:themeColor="text1"/>
          <w:sz w:val="24"/>
          <w:szCs w:val="24"/>
          <w:lang w:val="en-US"/>
        </w:rPr>
      </w:pPr>
    </w:p>
    <w:p w:rsidR="000C37DC" w:rsidRPr="00B806AB" w:rsidRDefault="000C37DC" w:rsidP="00914A8E">
      <w:pPr>
        <w:pStyle w:val="a3"/>
        <w:tabs>
          <w:tab w:val="left" w:pos="567"/>
        </w:tabs>
        <w:spacing w:after="0" w:line="240" w:lineRule="auto"/>
        <w:rPr>
          <w:rFonts w:ascii="Times New Roman" w:hAnsi="Times New Roman"/>
          <w:color w:val="000000" w:themeColor="text1"/>
          <w:sz w:val="24"/>
          <w:szCs w:val="24"/>
          <w:lang w:val="en-US"/>
        </w:rPr>
      </w:pPr>
    </w:p>
    <w:p w:rsidR="00407219" w:rsidRPr="00B806AB" w:rsidRDefault="00407219" w:rsidP="00914A8E">
      <w:pPr>
        <w:pStyle w:val="a3"/>
        <w:tabs>
          <w:tab w:val="left" w:pos="567"/>
        </w:tabs>
        <w:spacing w:after="0" w:line="240" w:lineRule="auto"/>
        <w:rPr>
          <w:rFonts w:ascii="Times New Roman" w:hAnsi="Times New Roman"/>
          <w:color w:val="000000" w:themeColor="text1"/>
          <w:sz w:val="24"/>
          <w:szCs w:val="24"/>
          <w:lang w:val="en-US"/>
        </w:rPr>
      </w:pPr>
    </w:p>
    <w:p w:rsidR="00407219" w:rsidRPr="00B806AB" w:rsidRDefault="00407219" w:rsidP="00914A8E">
      <w:pPr>
        <w:pStyle w:val="a3"/>
        <w:tabs>
          <w:tab w:val="left" w:pos="567"/>
        </w:tabs>
        <w:spacing w:after="0" w:line="240" w:lineRule="auto"/>
        <w:rPr>
          <w:rFonts w:ascii="Times New Roman" w:hAnsi="Times New Roman"/>
          <w:color w:val="000000" w:themeColor="text1"/>
          <w:sz w:val="24"/>
          <w:szCs w:val="24"/>
          <w:lang w:val="en-US"/>
        </w:rPr>
      </w:pPr>
    </w:p>
    <w:p w:rsidR="00602C76" w:rsidRPr="00B806AB" w:rsidRDefault="00602C76" w:rsidP="006F5637">
      <w:pPr>
        <w:pStyle w:val="a3"/>
        <w:tabs>
          <w:tab w:val="left" w:pos="567"/>
        </w:tabs>
        <w:spacing w:after="0" w:line="240" w:lineRule="auto"/>
        <w:rPr>
          <w:rFonts w:ascii="Times New Roman" w:hAnsi="Times New Roman"/>
          <w:color w:val="000000" w:themeColor="text1"/>
          <w:sz w:val="28"/>
          <w:szCs w:val="28"/>
          <w:lang w:val="en-US"/>
        </w:rPr>
      </w:pPr>
    </w:p>
    <w:tbl>
      <w:tblPr>
        <w:tblStyle w:val="a5"/>
        <w:tblW w:w="10374" w:type="dxa"/>
        <w:tblInd w:w="-289" w:type="dxa"/>
        <w:tblLayout w:type="fixed"/>
        <w:tblLook w:val="04A0" w:firstRow="1" w:lastRow="0" w:firstColumn="1" w:lastColumn="0" w:noHBand="0" w:noVBand="1"/>
      </w:tblPr>
      <w:tblGrid>
        <w:gridCol w:w="438"/>
        <w:gridCol w:w="3248"/>
        <w:gridCol w:w="1985"/>
        <w:gridCol w:w="1843"/>
        <w:gridCol w:w="2860"/>
      </w:tblGrid>
      <w:tr w:rsidR="005C2AC0" w:rsidRPr="005C2AC0" w:rsidTr="00F24F8C">
        <w:tc>
          <w:tcPr>
            <w:tcW w:w="438" w:type="dxa"/>
            <w:shd w:val="clear" w:color="auto" w:fill="E7E6E6" w:themeFill="background2"/>
          </w:tcPr>
          <w:p w:rsidR="00AA0866" w:rsidRPr="005C2AC0" w:rsidRDefault="00907740" w:rsidP="00AA0866">
            <w:pPr>
              <w:pStyle w:val="a3"/>
              <w:tabs>
                <w:tab w:val="left" w:pos="567"/>
              </w:tabs>
              <w:spacing w:after="0" w:line="240" w:lineRule="auto"/>
              <w:ind w:firstLine="0"/>
              <w:jc w:val="center"/>
              <w:rPr>
                <w:rFonts w:ascii="Times New Roman" w:hAnsi="Times New Roman"/>
                <w:b/>
                <w:color w:val="000000" w:themeColor="text1"/>
                <w:szCs w:val="22"/>
              </w:rPr>
            </w:pPr>
            <w:r w:rsidRPr="005C2AC0">
              <w:rPr>
                <w:rFonts w:ascii="Times New Roman" w:hAnsi="Times New Roman"/>
                <w:b/>
                <w:color w:val="000000" w:themeColor="text1"/>
                <w:szCs w:val="22"/>
              </w:rPr>
              <w:lastRenderedPageBreak/>
              <w:t>№</w:t>
            </w:r>
          </w:p>
        </w:tc>
        <w:tc>
          <w:tcPr>
            <w:tcW w:w="3248" w:type="dxa"/>
            <w:shd w:val="clear" w:color="auto" w:fill="E7E6E6" w:themeFill="background2"/>
          </w:tcPr>
          <w:p w:rsidR="00AA0866" w:rsidRPr="005C2AC0" w:rsidRDefault="00B806AB" w:rsidP="00AA0866">
            <w:pPr>
              <w:pStyle w:val="a3"/>
              <w:tabs>
                <w:tab w:val="left" w:pos="567"/>
              </w:tabs>
              <w:spacing w:after="0" w:line="240" w:lineRule="auto"/>
              <w:ind w:firstLine="0"/>
              <w:jc w:val="center"/>
              <w:rPr>
                <w:rFonts w:ascii="Times New Roman" w:hAnsi="Times New Roman"/>
                <w:b/>
                <w:color w:val="000000" w:themeColor="text1"/>
                <w:szCs w:val="22"/>
              </w:rPr>
            </w:pPr>
            <w:proofErr w:type="spellStart"/>
            <w:r w:rsidRPr="00B806AB">
              <w:rPr>
                <w:rFonts w:ascii="Times New Roman" w:hAnsi="Times New Roman"/>
                <w:b/>
                <w:color w:val="000000" w:themeColor="text1"/>
                <w:szCs w:val="22"/>
              </w:rPr>
              <w:t>Activity</w:t>
            </w:r>
            <w:proofErr w:type="spellEnd"/>
            <w:r w:rsidRPr="00B806AB">
              <w:rPr>
                <w:rFonts w:ascii="Times New Roman" w:hAnsi="Times New Roman"/>
                <w:b/>
                <w:color w:val="000000" w:themeColor="text1"/>
                <w:szCs w:val="22"/>
              </w:rPr>
              <w:t xml:space="preserve"> </w:t>
            </w:r>
            <w:proofErr w:type="spellStart"/>
            <w:r w:rsidRPr="00B806AB">
              <w:rPr>
                <w:rFonts w:ascii="Times New Roman" w:hAnsi="Times New Roman"/>
                <w:b/>
                <w:color w:val="000000" w:themeColor="text1"/>
                <w:szCs w:val="22"/>
              </w:rPr>
              <w:t>Title</w:t>
            </w:r>
            <w:proofErr w:type="spellEnd"/>
          </w:p>
        </w:tc>
        <w:tc>
          <w:tcPr>
            <w:tcW w:w="1985" w:type="dxa"/>
            <w:shd w:val="clear" w:color="auto" w:fill="E7E6E6" w:themeFill="background2"/>
          </w:tcPr>
          <w:p w:rsidR="00AA0866" w:rsidRPr="005C2AC0" w:rsidRDefault="00B806AB" w:rsidP="00AA0866">
            <w:pPr>
              <w:pStyle w:val="a3"/>
              <w:tabs>
                <w:tab w:val="left" w:pos="567"/>
              </w:tabs>
              <w:spacing w:after="0" w:line="240" w:lineRule="auto"/>
              <w:ind w:firstLine="0"/>
              <w:jc w:val="center"/>
              <w:rPr>
                <w:rFonts w:ascii="Times New Roman" w:hAnsi="Times New Roman"/>
                <w:b/>
                <w:color w:val="000000" w:themeColor="text1"/>
                <w:szCs w:val="22"/>
              </w:rPr>
            </w:pPr>
            <w:proofErr w:type="spellStart"/>
            <w:r w:rsidRPr="00B806AB">
              <w:rPr>
                <w:rFonts w:ascii="Times New Roman" w:hAnsi="Times New Roman"/>
                <w:b/>
                <w:color w:val="000000" w:themeColor="text1"/>
                <w:szCs w:val="22"/>
              </w:rPr>
              <w:t>Responsible</w:t>
            </w:r>
            <w:proofErr w:type="spellEnd"/>
            <w:r w:rsidRPr="00B806AB">
              <w:rPr>
                <w:rFonts w:ascii="Times New Roman" w:hAnsi="Times New Roman"/>
                <w:b/>
                <w:color w:val="000000" w:themeColor="text1"/>
                <w:szCs w:val="22"/>
              </w:rPr>
              <w:t xml:space="preserve"> </w:t>
            </w:r>
            <w:proofErr w:type="spellStart"/>
            <w:r w:rsidRPr="00B806AB">
              <w:rPr>
                <w:rFonts w:ascii="Times New Roman" w:hAnsi="Times New Roman"/>
                <w:b/>
                <w:color w:val="000000" w:themeColor="text1"/>
                <w:szCs w:val="22"/>
              </w:rPr>
              <w:t>Structural</w:t>
            </w:r>
            <w:proofErr w:type="spellEnd"/>
            <w:r w:rsidRPr="00B806AB">
              <w:rPr>
                <w:rFonts w:ascii="Times New Roman" w:hAnsi="Times New Roman"/>
                <w:b/>
                <w:color w:val="000000" w:themeColor="text1"/>
                <w:szCs w:val="22"/>
              </w:rPr>
              <w:t xml:space="preserve"> </w:t>
            </w:r>
            <w:proofErr w:type="spellStart"/>
            <w:r w:rsidRPr="00B806AB">
              <w:rPr>
                <w:rFonts w:ascii="Times New Roman" w:hAnsi="Times New Roman"/>
                <w:b/>
                <w:color w:val="000000" w:themeColor="text1"/>
                <w:szCs w:val="22"/>
              </w:rPr>
              <w:t>Units</w:t>
            </w:r>
            <w:proofErr w:type="spellEnd"/>
          </w:p>
        </w:tc>
        <w:tc>
          <w:tcPr>
            <w:tcW w:w="1843" w:type="dxa"/>
            <w:shd w:val="clear" w:color="auto" w:fill="E7E6E6" w:themeFill="background2"/>
          </w:tcPr>
          <w:p w:rsidR="00AA0866" w:rsidRPr="005C2AC0" w:rsidRDefault="00B806AB" w:rsidP="00AA0866">
            <w:pPr>
              <w:pStyle w:val="a3"/>
              <w:tabs>
                <w:tab w:val="left" w:pos="567"/>
              </w:tabs>
              <w:spacing w:after="0" w:line="240" w:lineRule="auto"/>
              <w:ind w:firstLine="0"/>
              <w:jc w:val="center"/>
              <w:rPr>
                <w:rFonts w:ascii="Times New Roman" w:hAnsi="Times New Roman"/>
                <w:b/>
                <w:color w:val="000000" w:themeColor="text1"/>
                <w:szCs w:val="22"/>
              </w:rPr>
            </w:pPr>
            <w:proofErr w:type="spellStart"/>
            <w:r w:rsidRPr="00B806AB">
              <w:rPr>
                <w:rFonts w:ascii="Times New Roman" w:hAnsi="Times New Roman"/>
                <w:b/>
                <w:color w:val="000000" w:themeColor="text1"/>
                <w:szCs w:val="22"/>
              </w:rPr>
              <w:t>Timeline</w:t>
            </w:r>
            <w:proofErr w:type="spellEnd"/>
          </w:p>
        </w:tc>
        <w:tc>
          <w:tcPr>
            <w:tcW w:w="2860" w:type="dxa"/>
            <w:shd w:val="clear" w:color="auto" w:fill="E7E6E6" w:themeFill="background2"/>
          </w:tcPr>
          <w:p w:rsidR="00AA0866" w:rsidRPr="005C2AC0" w:rsidRDefault="00B806AB" w:rsidP="00AA0866">
            <w:pPr>
              <w:pStyle w:val="a3"/>
              <w:tabs>
                <w:tab w:val="left" w:pos="567"/>
              </w:tabs>
              <w:spacing w:after="0" w:line="240" w:lineRule="auto"/>
              <w:ind w:firstLine="0"/>
              <w:jc w:val="center"/>
              <w:rPr>
                <w:rFonts w:ascii="Times New Roman" w:hAnsi="Times New Roman"/>
                <w:b/>
                <w:color w:val="000000" w:themeColor="text1"/>
                <w:szCs w:val="22"/>
              </w:rPr>
            </w:pPr>
            <w:proofErr w:type="spellStart"/>
            <w:r w:rsidRPr="00B806AB">
              <w:rPr>
                <w:rFonts w:ascii="Times New Roman" w:hAnsi="Times New Roman"/>
                <w:b/>
                <w:color w:val="000000" w:themeColor="text1"/>
                <w:szCs w:val="22"/>
              </w:rPr>
              <w:t>Form</w:t>
            </w:r>
            <w:proofErr w:type="spellEnd"/>
            <w:r w:rsidRPr="00B806AB">
              <w:rPr>
                <w:rFonts w:ascii="Times New Roman" w:hAnsi="Times New Roman"/>
                <w:b/>
                <w:color w:val="000000" w:themeColor="text1"/>
                <w:szCs w:val="22"/>
              </w:rPr>
              <w:t xml:space="preserve"> </w:t>
            </w:r>
            <w:proofErr w:type="spellStart"/>
            <w:r w:rsidRPr="00B806AB">
              <w:rPr>
                <w:rFonts w:ascii="Times New Roman" w:hAnsi="Times New Roman"/>
                <w:b/>
                <w:color w:val="000000" w:themeColor="text1"/>
                <w:szCs w:val="22"/>
              </w:rPr>
              <w:t>of</w:t>
            </w:r>
            <w:proofErr w:type="spellEnd"/>
            <w:r w:rsidRPr="00B806AB">
              <w:rPr>
                <w:rFonts w:ascii="Times New Roman" w:hAnsi="Times New Roman"/>
                <w:b/>
                <w:color w:val="000000" w:themeColor="text1"/>
                <w:szCs w:val="22"/>
              </w:rPr>
              <w:t xml:space="preserve"> </w:t>
            </w:r>
            <w:proofErr w:type="spellStart"/>
            <w:r w:rsidRPr="00B806AB">
              <w:rPr>
                <w:rFonts w:ascii="Times New Roman" w:hAnsi="Times New Roman"/>
                <w:b/>
                <w:color w:val="000000" w:themeColor="text1"/>
                <w:szCs w:val="22"/>
              </w:rPr>
              <w:t>Completion</w:t>
            </w:r>
            <w:proofErr w:type="spellEnd"/>
          </w:p>
        </w:tc>
      </w:tr>
      <w:tr w:rsidR="005C2AC0" w:rsidRPr="00B806AB" w:rsidTr="00F24F8C">
        <w:tc>
          <w:tcPr>
            <w:tcW w:w="438" w:type="dxa"/>
          </w:tcPr>
          <w:p w:rsidR="00AA0866" w:rsidRPr="005C2AC0" w:rsidRDefault="00907740" w:rsidP="006F5637">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1</w:t>
            </w:r>
          </w:p>
        </w:tc>
        <w:tc>
          <w:tcPr>
            <w:tcW w:w="3248" w:type="dxa"/>
          </w:tcPr>
          <w:p w:rsidR="00AA0866" w:rsidRPr="00B806AB" w:rsidRDefault="00B806AB" w:rsidP="002F0B66">
            <w:pPr>
              <w:pStyle w:val="a3"/>
              <w:tabs>
                <w:tab w:val="left" w:pos="567"/>
              </w:tabs>
              <w:spacing w:after="0" w:line="240" w:lineRule="auto"/>
              <w:ind w:firstLine="0"/>
              <w:rPr>
                <w:rFonts w:ascii="Times New Roman" w:hAnsi="Times New Roman"/>
                <w:color w:val="000000" w:themeColor="text1"/>
                <w:szCs w:val="22"/>
                <w:lang w:val="en-US"/>
              </w:rPr>
            </w:pPr>
            <w:r w:rsidRPr="00B806AB">
              <w:rPr>
                <w:rFonts w:ascii="Times New Roman" w:hAnsi="Times New Roman"/>
                <w:color w:val="000000" w:themeColor="text1"/>
                <w:szCs w:val="22"/>
                <w:lang w:val="en-US"/>
              </w:rPr>
              <w:t>Engagement of consultants to conduct a sector-specific, highly specialized ESG audit, for the purpose of developing recommendations to improve the Fund’s ESG rating/assessment and to provide support in achieving the required measures.</w:t>
            </w:r>
          </w:p>
        </w:tc>
        <w:tc>
          <w:tcPr>
            <w:tcW w:w="1985" w:type="dxa"/>
          </w:tcPr>
          <w:p w:rsidR="00AA0866" w:rsidRPr="00EF2D26" w:rsidRDefault="00EF2D26" w:rsidP="006F5637">
            <w:pPr>
              <w:pStyle w:val="a3"/>
              <w:tabs>
                <w:tab w:val="left" w:pos="567"/>
              </w:tabs>
              <w:spacing w:after="0" w:line="240" w:lineRule="auto"/>
              <w:ind w:firstLine="0"/>
              <w:rPr>
                <w:rFonts w:ascii="Times New Roman" w:hAnsi="Times New Roman"/>
                <w:color w:val="000000" w:themeColor="text1"/>
                <w:szCs w:val="22"/>
                <w:lang w:val="en-US"/>
              </w:rPr>
            </w:pPr>
            <w:r w:rsidRPr="00EF2D26">
              <w:rPr>
                <w:rFonts w:ascii="Times New Roman" w:hAnsi="Times New Roman"/>
                <w:color w:val="000000" w:themeColor="text1"/>
                <w:szCs w:val="22"/>
                <w:lang w:val="en-US"/>
              </w:rPr>
              <w:t>Department of Strategic Analysis and Corporate Development, Department of Green and International Cooperation</w:t>
            </w:r>
          </w:p>
        </w:tc>
        <w:tc>
          <w:tcPr>
            <w:tcW w:w="1843" w:type="dxa"/>
          </w:tcPr>
          <w:p w:rsidR="00AA0866" w:rsidRPr="005C2AC0" w:rsidRDefault="00B806AB" w:rsidP="008B2AB8">
            <w:pPr>
              <w:pStyle w:val="a3"/>
              <w:tabs>
                <w:tab w:val="left" w:pos="567"/>
              </w:tabs>
              <w:spacing w:after="0" w:line="240" w:lineRule="auto"/>
              <w:ind w:firstLine="0"/>
              <w:rPr>
                <w:rFonts w:ascii="Times New Roman" w:hAnsi="Times New Roman"/>
                <w:color w:val="000000" w:themeColor="text1"/>
                <w:szCs w:val="22"/>
              </w:rPr>
            </w:pPr>
            <w:proofErr w:type="spellStart"/>
            <w:r w:rsidRPr="00B806AB">
              <w:rPr>
                <w:rFonts w:ascii="Times New Roman" w:hAnsi="Times New Roman"/>
                <w:szCs w:val="22"/>
              </w:rPr>
              <w:t>Annually</w:t>
            </w:r>
            <w:proofErr w:type="spellEnd"/>
            <w:r w:rsidRPr="00B806AB">
              <w:rPr>
                <w:rFonts w:ascii="Times New Roman" w:hAnsi="Times New Roman"/>
                <w:szCs w:val="22"/>
              </w:rPr>
              <w:t xml:space="preserve"> (</w:t>
            </w:r>
            <w:proofErr w:type="spellStart"/>
            <w:r w:rsidRPr="00B806AB">
              <w:rPr>
                <w:rFonts w:ascii="Times New Roman" w:hAnsi="Times New Roman"/>
                <w:szCs w:val="22"/>
              </w:rPr>
              <w:t>as</w:t>
            </w:r>
            <w:proofErr w:type="spellEnd"/>
            <w:r w:rsidRPr="00B806AB">
              <w:rPr>
                <w:rFonts w:ascii="Times New Roman" w:hAnsi="Times New Roman"/>
                <w:szCs w:val="22"/>
              </w:rPr>
              <w:t xml:space="preserve"> </w:t>
            </w:r>
            <w:proofErr w:type="spellStart"/>
            <w:r w:rsidRPr="00B806AB">
              <w:rPr>
                <w:rFonts w:ascii="Times New Roman" w:hAnsi="Times New Roman"/>
                <w:szCs w:val="22"/>
              </w:rPr>
              <w:t>needed</w:t>
            </w:r>
            <w:proofErr w:type="spellEnd"/>
            <w:r w:rsidRPr="00B806AB">
              <w:rPr>
                <w:rFonts w:ascii="Times New Roman" w:hAnsi="Times New Roman"/>
                <w:szCs w:val="22"/>
              </w:rPr>
              <w:t>)</w:t>
            </w:r>
          </w:p>
        </w:tc>
        <w:tc>
          <w:tcPr>
            <w:tcW w:w="2860" w:type="dxa"/>
          </w:tcPr>
          <w:p w:rsidR="00AA0866" w:rsidRPr="00B806AB" w:rsidRDefault="00B806AB" w:rsidP="007D408E">
            <w:pPr>
              <w:pStyle w:val="a3"/>
              <w:tabs>
                <w:tab w:val="left" w:pos="567"/>
              </w:tabs>
              <w:spacing w:after="0" w:line="240" w:lineRule="auto"/>
              <w:ind w:firstLine="0"/>
              <w:rPr>
                <w:rFonts w:ascii="Times New Roman" w:hAnsi="Times New Roman"/>
                <w:color w:val="000000" w:themeColor="text1"/>
                <w:szCs w:val="22"/>
                <w:lang w:val="en-US"/>
              </w:rPr>
            </w:pPr>
            <w:r w:rsidRPr="00B806AB">
              <w:rPr>
                <w:rFonts w:ascii="Times New Roman" w:hAnsi="Times New Roman"/>
                <w:color w:val="000000" w:themeColor="text1"/>
                <w:szCs w:val="22"/>
                <w:lang w:val="en-US"/>
              </w:rPr>
              <w:t>List of recommendations to improve the Fund’s ESG rating/assessment and to support the achievement of the required measures.</w:t>
            </w:r>
          </w:p>
        </w:tc>
      </w:tr>
      <w:tr w:rsidR="005C2AC0" w:rsidRPr="00EF2D26" w:rsidTr="00F24F8C">
        <w:tc>
          <w:tcPr>
            <w:tcW w:w="438" w:type="dxa"/>
          </w:tcPr>
          <w:p w:rsidR="0004674E" w:rsidRPr="005C2AC0" w:rsidRDefault="00907740" w:rsidP="0004674E">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2</w:t>
            </w:r>
          </w:p>
        </w:tc>
        <w:tc>
          <w:tcPr>
            <w:tcW w:w="3248" w:type="dxa"/>
          </w:tcPr>
          <w:p w:rsidR="0004674E" w:rsidRPr="00EF2D26" w:rsidRDefault="00EF2D26" w:rsidP="0004674E">
            <w:pPr>
              <w:pStyle w:val="a3"/>
              <w:tabs>
                <w:tab w:val="left" w:pos="567"/>
              </w:tabs>
              <w:spacing w:after="0" w:line="240" w:lineRule="auto"/>
              <w:ind w:firstLine="0"/>
              <w:rPr>
                <w:rFonts w:ascii="Times New Roman" w:hAnsi="Times New Roman"/>
                <w:color w:val="000000" w:themeColor="text1"/>
                <w:szCs w:val="22"/>
                <w:lang w:val="en-US"/>
              </w:rPr>
            </w:pPr>
            <w:r w:rsidRPr="00EF2D26">
              <w:rPr>
                <w:rFonts w:ascii="Times New Roman" w:hAnsi="Times New Roman"/>
                <w:color w:val="000000" w:themeColor="text1"/>
                <w:szCs w:val="22"/>
                <w:lang w:val="en-US"/>
              </w:rPr>
              <w:t>Establishment of a permanently operating working group for the implementation of the Roadmap measures on integrating ESG principles into the Fund’s activities</w:t>
            </w:r>
          </w:p>
        </w:tc>
        <w:tc>
          <w:tcPr>
            <w:tcW w:w="1985" w:type="dxa"/>
          </w:tcPr>
          <w:p w:rsidR="0004674E" w:rsidRPr="003A6182" w:rsidRDefault="003A6182" w:rsidP="0004674E">
            <w:pPr>
              <w:pStyle w:val="a3"/>
              <w:tabs>
                <w:tab w:val="left" w:pos="567"/>
              </w:tabs>
              <w:spacing w:after="0" w:line="240" w:lineRule="auto"/>
              <w:ind w:firstLine="0"/>
              <w:rPr>
                <w:rFonts w:ascii="Times New Roman" w:hAnsi="Times New Roman"/>
                <w:color w:val="000000" w:themeColor="text1"/>
                <w:szCs w:val="22"/>
                <w:lang w:val="en-US"/>
              </w:rPr>
            </w:pPr>
            <w:r w:rsidRPr="003A6182">
              <w:rPr>
                <w:rFonts w:ascii="Times New Roman" w:hAnsi="Times New Roman"/>
                <w:color w:val="000000" w:themeColor="text1"/>
                <w:szCs w:val="22"/>
                <w:lang w:val="en-US"/>
              </w:rPr>
              <w:t>Department of Green and International Cooperation</w:t>
            </w:r>
            <w:r w:rsidR="0004674E" w:rsidRPr="003A6182">
              <w:rPr>
                <w:rFonts w:ascii="Times New Roman" w:hAnsi="Times New Roman"/>
                <w:color w:val="000000" w:themeColor="text1"/>
                <w:szCs w:val="22"/>
                <w:lang w:val="en-US"/>
              </w:rPr>
              <w:t xml:space="preserve">, </w:t>
            </w:r>
            <w:r w:rsidRPr="003A6182">
              <w:rPr>
                <w:rFonts w:ascii="Times New Roman" w:hAnsi="Times New Roman"/>
                <w:color w:val="000000" w:themeColor="text1"/>
                <w:szCs w:val="22"/>
                <w:lang w:val="en-US"/>
              </w:rPr>
              <w:t>Department of Strategic Analysis and Corporate Development</w:t>
            </w:r>
            <w:r w:rsidR="0004674E" w:rsidRPr="003A6182">
              <w:rPr>
                <w:rFonts w:ascii="Times New Roman" w:hAnsi="Times New Roman"/>
                <w:color w:val="000000" w:themeColor="text1"/>
                <w:szCs w:val="22"/>
                <w:lang w:val="en-US"/>
              </w:rPr>
              <w:t xml:space="preserve">, </w:t>
            </w:r>
            <w:r w:rsidRPr="003A6182">
              <w:rPr>
                <w:rFonts w:ascii="Times New Roman" w:hAnsi="Times New Roman"/>
                <w:color w:val="000000" w:themeColor="text1"/>
                <w:szCs w:val="22"/>
                <w:lang w:val="en-US"/>
              </w:rPr>
              <w:t>representatives of the Fund’s structural units and regional branches (Director / Deputy Director + staff member)</w:t>
            </w:r>
          </w:p>
        </w:tc>
        <w:tc>
          <w:tcPr>
            <w:tcW w:w="1843" w:type="dxa"/>
          </w:tcPr>
          <w:p w:rsidR="0004674E" w:rsidRPr="005C2AC0" w:rsidRDefault="00EF2D26" w:rsidP="00C93E21">
            <w:pPr>
              <w:pStyle w:val="a3"/>
              <w:tabs>
                <w:tab w:val="left" w:pos="567"/>
              </w:tabs>
              <w:spacing w:after="0" w:line="240" w:lineRule="auto"/>
              <w:ind w:firstLine="0"/>
              <w:rPr>
                <w:rFonts w:ascii="Times New Roman" w:hAnsi="Times New Roman"/>
                <w:color w:val="000000" w:themeColor="text1"/>
                <w:szCs w:val="22"/>
              </w:rPr>
            </w:pPr>
            <w:proofErr w:type="spellStart"/>
            <w:r w:rsidRPr="00EF2D26">
              <w:rPr>
                <w:rFonts w:ascii="Times New Roman" w:hAnsi="Times New Roman"/>
                <w:color w:val="000000" w:themeColor="text1"/>
                <w:szCs w:val="22"/>
              </w:rPr>
              <w:t>By</w:t>
            </w:r>
            <w:proofErr w:type="spellEnd"/>
            <w:r w:rsidRPr="00EF2D26">
              <w:rPr>
                <w:rFonts w:ascii="Times New Roman" w:hAnsi="Times New Roman"/>
                <w:color w:val="000000" w:themeColor="text1"/>
                <w:szCs w:val="22"/>
              </w:rPr>
              <w:t xml:space="preserve"> 31 </w:t>
            </w:r>
            <w:proofErr w:type="spellStart"/>
            <w:r w:rsidRPr="00EF2D26">
              <w:rPr>
                <w:rFonts w:ascii="Times New Roman" w:hAnsi="Times New Roman"/>
                <w:color w:val="000000" w:themeColor="text1"/>
                <w:szCs w:val="22"/>
              </w:rPr>
              <w:t>March</w:t>
            </w:r>
            <w:proofErr w:type="spellEnd"/>
            <w:r w:rsidRPr="00EF2D26">
              <w:rPr>
                <w:rFonts w:ascii="Times New Roman" w:hAnsi="Times New Roman"/>
                <w:color w:val="000000" w:themeColor="text1"/>
                <w:szCs w:val="22"/>
              </w:rPr>
              <w:t xml:space="preserve"> 2024</w:t>
            </w:r>
          </w:p>
        </w:tc>
        <w:tc>
          <w:tcPr>
            <w:tcW w:w="2860" w:type="dxa"/>
          </w:tcPr>
          <w:p w:rsidR="0004674E" w:rsidRPr="00EF2D26" w:rsidRDefault="00EF2D26" w:rsidP="0004674E">
            <w:pPr>
              <w:pStyle w:val="a3"/>
              <w:tabs>
                <w:tab w:val="left" w:pos="567"/>
              </w:tabs>
              <w:spacing w:after="0" w:line="240" w:lineRule="auto"/>
              <w:ind w:firstLine="0"/>
              <w:rPr>
                <w:rFonts w:ascii="Times New Roman" w:hAnsi="Times New Roman"/>
                <w:color w:val="000000" w:themeColor="text1"/>
                <w:szCs w:val="22"/>
                <w:lang w:val="en-US"/>
              </w:rPr>
            </w:pPr>
            <w:r w:rsidRPr="00EF2D26">
              <w:rPr>
                <w:rFonts w:ascii="Times New Roman" w:hAnsi="Times New Roman"/>
                <w:color w:val="000000" w:themeColor="text1"/>
                <w:szCs w:val="22"/>
                <w:lang w:val="en-US"/>
              </w:rPr>
              <w:t>Order on the establishment of the working group</w:t>
            </w:r>
          </w:p>
        </w:tc>
      </w:tr>
      <w:tr w:rsidR="005C2AC0" w:rsidRPr="008F38EA" w:rsidTr="00F24F8C">
        <w:tc>
          <w:tcPr>
            <w:tcW w:w="438" w:type="dxa"/>
          </w:tcPr>
          <w:p w:rsidR="00AA0866" w:rsidRPr="005C2AC0" w:rsidRDefault="00907740" w:rsidP="006F5637">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3</w:t>
            </w:r>
          </w:p>
        </w:tc>
        <w:tc>
          <w:tcPr>
            <w:tcW w:w="3248" w:type="dxa"/>
          </w:tcPr>
          <w:p w:rsidR="00AA0866" w:rsidRPr="008F38EA" w:rsidRDefault="008F38EA" w:rsidP="00396DE7">
            <w:pPr>
              <w:pStyle w:val="a3"/>
              <w:tabs>
                <w:tab w:val="left" w:pos="567"/>
              </w:tabs>
              <w:spacing w:after="0" w:line="240" w:lineRule="auto"/>
              <w:ind w:firstLine="0"/>
              <w:rPr>
                <w:rFonts w:ascii="Times New Roman" w:hAnsi="Times New Roman"/>
                <w:color w:val="000000" w:themeColor="text1"/>
                <w:szCs w:val="22"/>
                <w:lang w:val="en-US"/>
              </w:rPr>
            </w:pPr>
            <w:r w:rsidRPr="008F38EA">
              <w:rPr>
                <w:rFonts w:ascii="Times New Roman" w:hAnsi="Times New Roman"/>
                <w:color w:val="000000" w:themeColor="text1"/>
                <w:szCs w:val="22"/>
                <w:lang w:val="en-US"/>
              </w:rPr>
              <w:t>Conducting training sessions / seminars for the Fund’s employees aimed at professional development in ESG concepts / green finance / green office practices / as well as on issues related to sustainable development bonds issued and planned to be issued by the Fund (with possible involvement of specialists from the MFC / KASE)</w:t>
            </w:r>
          </w:p>
        </w:tc>
        <w:tc>
          <w:tcPr>
            <w:tcW w:w="1985" w:type="dxa"/>
          </w:tcPr>
          <w:p w:rsidR="00AA0866" w:rsidRPr="008F38EA" w:rsidRDefault="00B23ABE" w:rsidP="006F5637">
            <w:pPr>
              <w:pStyle w:val="a3"/>
              <w:tabs>
                <w:tab w:val="left" w:pos="567"/>
              </w:tabs>
              <w:spacing w:after="0" w:line="240" w:lineRule="auto"/>
              <w:ind w:firstLine="0"/>
              <w:rPr>
                <w:rFonts w:ascii="Times New Roman" w:hAnsi="Times New Roman"/>
                <w:color w:val="000000" w:themeColor="text1"/>
                <w:szCs w:val="22"/>
                <w:lang w:val="en-US"/>
              </w:rPr>
            </w:pPr>
            <w:r w:rsidRPr="00B23ABE">
              <w:rPr>
                <w:rFonts w:ascii="Times New Roman" w:hAnsi="Times New Roman"/>
                <w:color w:val="000000" w:themeColor="text1"/>
                <w:szCs w:val="22"/>
                <w:lang w:val="en-US"/>
              </w:rPr>
              <w:t>Department of Strategic Analysis and Corporate Development</w:t>
            </w:r>
            <w:r w:rsidR="00FB5271" w:rsidRPr="008F38EA">
              <w:rPr>
                <w:rFonts w:ascii="Times New Roman" w:hAnsi="Times New Roman"/>
                <w:color w:val="000000" w:themeColor="text1"/>
                <w:szCs w:val="22"/>
                <w:lang w:val="en-US"/>
              </w:rPr>
              <w:t xml:space="preserve">, </w:t>
            </w:r>
            <w:r w:rsidRPr="00B23ABE">
              <w:rPr>
                <w:rFonts w:ascii="Times New Roman" w:hAnsi="Times New Roman"/>
                <w:color w:val="000000" w:themeColor="text1"/>
                <w:szCs w:val="22"/>
                <w:lang w:val="en-US"/>
              </w:rPr>
              <w:t>Department of Green and International Cooperation</w:t>
            </w:r>
            <w:r w:rsidR="00EB735C" w:rsidRPr="008F38EA">
              <w:rPr>
                <w:rFonts w:ascii="Times New Roman" w:hAnsi="Times New Roman"/>
                <w:color w:val="000000" w:themeColor="text1"/>
                <w:szCs w:val="22"/>
                <w:lang w:val="en-US"/>
              </w:rPr>
              <w:t xml:space="preserve">, </w:t>
            </w:r>
            <w:r w:rsidRPr="00B23ABE">
              <w:rPr>
                <w:rFonts w:ascii="Times New Roman" w:hAnsi="Times New Roman"/>
                <w:color w:val="000000" w:themeColor="text1"/>
                <w:szCs w:val="22"/>
                <w:lang w:val="en-US"/>
              </w:rPr>
              <w:t>Department of Personnel Development</w:t>
            </w:r>
            <w:r w:rsidR="00396DE7" w:rsidRPr="008F38EA">
              <w:rPr>
                <w:rFonts w:ascii="Times New Roman" w:hAnsi="Times New Roman"/>
                <w:color w:val="000000" w:themeColor="text1"/>
                <w:szCs w:val="22"/>
                <w:lang w:val="en-US"/>
              </w:rPr>
              <w:t xml:space="preserve">, </w:t>
            </w:r>
            <w:r w:rsidRPr="00B23ABE">
              <w:rPr>
                <w:rFonts w:ascii="Times New Roman" w:hAnsi="Times New Roman"/>
                <w:color w:val="000000" w:themeColor="text1"/>
                <w:szCs w:val="22"/>
                <w:lang w:val="en-US"/>
              </w:rPr>
              <w:t>Administrative Department</w:t>
            </w:r>
            <w:r w:rsidR="00396DE7" w:rsidRPr="008F38EA">
              <w:rPr>
                <w:rFonts w:ascii="Times New Roman" w:hAnsi="Times New Roman"/>
                <w:color w:val="000000" w:themeColor="text1"/>
                <w:szCs w:val="22"/>
                <w:lang w:val="en-US"/>
              </w:rPr>
              <w:t xml:space="preserve">, </w:t>
            </w:r>
            <w:r w:rsidRPr="00B23ABE">
              <w:rPr>
                <w:rFonts w:ascii="Times New Roman" w:hAnsi="Times New Roman"/>
                <w:color w:val="000000" w:themeColor="text1"/>
                <w:szCs w:val="22"/>
                <w:lang w:val="en-US"/>
              </w:rPr>
              <w:t xml:space="preserve">Structural Units </w:t>
            </w:r>
            <w:r w:rsidR="006F4A8E" w:rsidRPr="008F38EA">
              <w:rPr>
                <w:rFonts w:ascii="Times New Roman" w:hAnsi="Times New Roman"/>
                <w:color w:val="000000" w:themeColor="text1"/>
                <w:szCs w:val="22"/>
                <w:lang w:val="en-US"/>
              </w:rPr>
              <w:t>(</w:t>
            </w:r>
            <w:r w:rsidR="008F38EA" w:rsidRPr="008F38EA">
              <w:rPr>
                <w:rFonts w:ascii="Times New Roman" w:hAnsi="Times New Roman"/>
                <w:color w:val="000000" w:themeColor="text1"/>
                <w:szCs w:val="22"/>
                <w:lang w:val="en-US"/>
              </w:rPr>
              <w:t>as agreed</w:t>
            </w:r>
            <w:r w:rsidR="006F4A8E" w:rsidRPr="008F38EA">
              <w:rPr>
                <w:rFonts w:ascii="Times New Roman" w:hAnsi="Times New Roman"/>
                <w:color w:val="000000" w:themeColor="text1"/>
                <w:szCs w:val="22"/>
                <w:lang w:val="en-US"/>
              </w:rPr>
              <w:t>)</w:t>
            </w:r>
          </w:p>
        </w:tc>
        <w:tc>
          <w:tcPr>
            <w:tcW w:w="1843" w:type="dxa"/>
          </w:tcPr>
          <w:p w:rsidR="008B2AB8" w:rsidRPr="005C2AC0" w:rsidRDefault="008F38EA" w:rsidP="008D75FD">
            <w:pPr>
              <w:pStyle w:val="a3"/>
              <w:tabs>
                <w:tab w:val="left" w:pos="567"/>
              </w:tabs>
              <w:spacing w:after="0" w:line="240" w:lineRule="auto"/>
              <w:ind w:firstLine="0"/>
              <w:rPr>
                <w:rFonts w:ascii="Times New Roman" w:hAnsi="Times New Roman"/>
                <w:color w:val="000000" w:themeColor="text1"/>
                <w:szCs w:val="22"/>
              </w:rPr>
            </w:pPr>
            <w:proofErr w:type="spellStart"/>
            <w:r w:rsidRPr="008F38EA">
              <w:rPr>
                <w:rFonts w:ascii="Times New Roman" w:hAnsi="Times New Roman"/>
                <w:color w:val="000000" w:themeColor="text1"/>
                <w:szCs w:val="22"/>
              </w:rPr>
              <w:t>Quarterly</w:t>
            </w:r>
            <w:proofErr w:type="spellEnd"/>
            <w:r w:rsidRPr="008F38EA">
              <w:rPr>
                <w:rFonts w:ascii="Times New Roman" w:hAnsi="Times New Roman"/>
                <w:color w:val="000000" w:themeColor="text1"/>
                <w:szCs w:val="22"/>
              </w:rPr>
              <w:t xml:space="preserve"> / </w:t>
            </w:r>
            <w:proofErr w:type="spellStart"/>
            <w:r w:rsidRPr="008F38EA">
              <w:rPr>
                <w:rFonts w:ascii="Times New Roman" w:hAnsi="Times New Roman"/>
                <w:color w:val="000000" w:themeColor="text1"/>
                <w:szCs w:val="22"/>
              </w:rPr>
              <w:t>as</w:t>
            </w:r>
            <w:proofErr w:type="spellEnd"/>
            <w:r w:rsidRPr="008F38EA">
              <w:rPr>
                <w:rFonts w:ascii="Times New Roman" w:hAnsi="Times New Roman"/>
                <w:color w:val="000000" w:themeColor="text1"/>
                <w:szCs w:val="22"/>
              </w:rPr>
              <w:t xml:space="preserve"> </w:t>
            </w:r>
            <w:proofErr w:type="spellStart"/>
            <w:r w:rsidRPr="008F38EA">
              <w:rPr>
                <w:rFonts w:ascii="Times New Roman" w:hAnsi="Times New Roman"/>
                <w:color w:val="000000" w:themeColor="text1"/>
                <w:szCs w:val="22"/>
              </w:rPr>
              <w:t>needed</w:t>
            </w:r>
            <w:proofErr w:type="spellEnd"/>
          </w:p>
        </w:tc>
        <w:tc>
          <w:tcPr>
            <w:tcW w:w="2860" w:type="dxa"/>
          </w:tcPr>
          <w:p w:rsidR="00AA0866" w:rsidRPr="008F38EA" w:rsidRDefault="008F38EA" w:rsidP="00671BA6">
            <w:pPr>
              <w:pStyle w:val="a3"/>
              <w:tabs>
                <w:tab w:val="left" w:pos="567"/>
              </w:tabs>
              <w:spacing w:after="0" w:line="240" w:lineRule="auto"/>
              <w:ind w:firstLine="0"/>
              <w:rPr>
                <w:rFonts w:ascii="Times New Roman" w:hAnsi="Times New Roman"/>
                <w:color w:val="000000" w:themeColor="text1"/>
                <w:szCs w:val="22"/>
                <w:lang w:val="en-US"/>
              </w:rPr>
            </w:pPr>
            <w:r w:rsidRPr="008F38EA">
              <w:rPr>
                <w:rFonts w:ascii="Times New Roman" w:hAnsi="Times New Roman"/>
                <w:color w:val="000000" w:themeColor="text1"/>
                <w:szCs w:val="22"/>
                <w:lang w:val="en-US"/>
              </w:rPr>
              <w:t>Schedule of training activities: trainings / seminars (including online formats)</w:t>
            </w:r>
          </w:p>
        </w:tc>
      </w:tr>
      <w:tr w:rsidR="005C2AC0" w:rsidRPr="00D55714" w:rsidTr="00F24F8C">
        <w:tc>
          <w:tcPr>
            <w:tcW w:w="438" w:type="dxa"/>
          </w:tcPr>
          <w:p w:rsidR="00887FF2" w:rsidRPr="005C2AC0" w:rsidRDefault="00907740" w:rsidP="00B16224">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4</w:t>
            </w:r>
          </w:p>
        </w:tc>
        <w:tc>
          <w:tcPr>
            <w:tcW w:w="3248" w:type="dxa"/>
          </w:tcPr>
          <w:p w:rsidR="00887FF2" w:rsidRPr="00B23ABE" w:rsidRDefault="00B23ABE" w:rsidP="008D75FD">
            <w:pPr>
              <w:pStyle w:val="a3"/>
              <w:tabs>
                <w:tab w:val="left" w:pos="567"/>
              </w:tabs>
              <w:spacing w:after="0" w:line="240" w:lineRule="auto"/>
              <w:ind w:firstLine="0"/>
              <w:rPr>
                <w:rFonts w:ascii="Times New Roman" w:hAnsi="Times New Roman"/>
                <w:color w:val="000000" w:themeColor="text1"/>
                <w:szCs w:val="22"/>
                <w:lang w:val="en-US"/>
              </w:rPr>
            </w:pPr>
            <w:r w:rsidRPr="00B23ABE">
              <w:rPr>
                <w:rFonts w:ascii="Times New Roman" w:hAnsi="Times New Roman"/>
                <w:color w:val="000000" w:themeColor="text1"/>
                <w:szCs w:val="22"/>
                <w:lang w:val="en-US"/>
              </w:rPr>
              <w:t>Engagement with the Fund’s international partners to organize training activities for employees involved in the implementation of ESG principles, including participation in trainings/seminars (including international events), in order to ensure effective implementation of the measures set out in this Roadmap</w:t>
            </w:r>
          </w:p>
        </w:tc>
        <w:tc>
          <w:tcPr>
            <w:tcW w:w="1985" w:type="dxa"/>
          </w:tcPr>
          <w:p w:rsidR="00887FF2" w:rsidRPr="00B23ABE" w:rsidRDefault="00B23ABE" w:rsidP="00B16224">
            <w:pPr>
              <w:pStyle w:val="a3"/>
              <w:tabs>
                <w:tab w:val="left" w:pos="567"/>
              </w:tabs>
              <w:spacing w:after="0" w:line="240" w:lineRule="auto"/>
              <w:ind w:firstLine="0"/>
              <w:rPr>
                <w:rFonts w:ascii="Times New Roman" w:hAnsi="Times New Roman"/>
                <w:color w:val="000000" w:themeColor="text1"/>
                <w:szCs w:val="22"/>
                <w:lang w:val="en-US"/>
              </w:rPr>
            </w:pPr>
            <w:r w:rsidRPr="00B23ABE">
              <w:rPr>
                <w:rFonts w:ascii="Times New Roman" w:hAnsi="Times New Roman"/>
                <w:color w:val="000000" w:themeColor="text1"/>
                <w:szCs w:val="22"/>
                <w:lang w:val="en-US"/>
              </w:rPr>
              <w:t>Department of Green and International Cooperation</w:t>
            </w:r>
            <w:r w:rsidR="0004674E" w:rsidRPr="00B23ABE">
              <w:rPr>
                <w:rFonts w:ascii="Times New Roman" w:hAnsi="Times New Roman"/>
                <w:color w:val="000000" w:themeColor="text1"/>
                <w:szCs w:val="22"/>
                <w:lang w:val="en-US"/>
              </w:rPr>
              <w:t xml:space="preserve">, </w:t>
            </w:r>
            <w:r w:rsidR="00D55714" w:rsidRPr="00D55714">
              <w:rPr>
                <w:rFonts w:ascii="Times New Roman" w:hAnsi="Times New Roman"/>
                <w:color w:val="000000" w:themeColor="text1"/>
                <w:szCs w:val="22"/>
                <w:lang w:val="en-US"/>
              </w:rPr>
              <w:t>Department of Strategic Analysis and Corporate Development</w:t>
            </w:r>
            <w:r w:rsidR="0004674E" w:rsidRPr="00B23ABE">
              <w:rPr>
                <w:rFonts w:ascii="Times New Roman" w:hAnsi="Times New Roman"/>
                <w:color w:val="000000" w:themeColor="text1"/>
                <w:szCs w:val="22"/>
                <w:lang w:val="en-US"/>
              </w:rPr>
              <w:t xml:space="preserve">, </w:t>
            </w:r>
            <w:r w:rsidR="00D55714" w:rsidRPr="00D55714">
              <w:rPr>
                <w:rFonts w:ascii="Times New Roman" w:hAnsi="Times New Roman"/>
                <w:color w:val="000000" w:themeColor="text1"/>
                <w:szCs w:val="22"/>
                <w:lang w:val="en-US"/>
              </w:rPr>
              <w:t>Department of Personnel Development</w:t>
            </w:r>
            <w:r w:rsidR="0004674E" w:rsidRPr="00B23ABE">
              <w:rPr>
                <w:rFonts w:ascii="Times New Roman" w:hAnsi="Times New Roman"/>
                <w:color w:val="000000" w:themeColor="text1"/>
                <w:szCs w:val="22"/>
                <w:lang w:val="en-US"/>
              </w:rPr>
              <w:t xml:space="preserve">, </w:t>
            </w:r>
            <w:r w:rsidR="00D55714" w:rsidRPr="00D55714">
              <w:rPr>
                <w:rFonts w:ascii="Times New Roman" w:hAnsi="Times New Roman"/>
                <w:color w:val="000000" w:themeColor="text1"/>
                <w:szCs w:val="22"/>
                <w:lang w:val="en-US"/>
              </w:rPr>
              <w:t>Structural Units (as agreed)</w:t>
            </w:r>
          </w:p>
        </w:tc>
        <w:tc>
          <w:tcPr>
            <w:tcW w:w="1843" w:type="dxa"/>
          </w:tcPr>
          <w:p w:rsidR="00887FF2" w:rsidRPr="00D55714" w:rsidRDefault="00D55714" w:rsidP="0004674E">
            <w:pPr>
              <w:pStyle w:val="a3"/>
              <w:tabs>
                <w:tab w:val="left" w:pos="567"/>
              </w:tabs>
              <w:spacing w:after="0" w:line="240" w:lineRule="auto"/>
              <w:ind w:firstLine="0"/>
              <w:rPr>
                <w:rFonts w:ascii="Times New Roman" w:hAnsi="Times New Roman"/>
                <w:color w:val="000000" w:themeColor="text1"/>
                <w:szCs w:val="22"/>
                <w:lang w:val="en-US"/>
              </w:rPr>
            </w:pPr>
            <w:r w:rsidRPr="00D55714">
              <w:rPr>
                <w:rFonts w:ascii="Times New Roman" w:hAnsi="Times New Roman"/>
                <w:color w:val="000000" w:themeColor="text1"/>
                <w:szCs w:val="22"/>
                <w:lang w:val="en-US"/>
              </w:rPr>
              <w:t>At least twice a year</w:t>
            </w:r>
          </w:p>
        </w:tc>
        <w:tc>
          <w:tcPr>
            <w:tcW w:w="2860" w:type="dxa"/>
          </w:tcPr>
          <w:p w:rsidR="00887FF2" w:rsidRPr="00D55714" w:rsidRDefault="00D55714" w:rsidP="00F4227C">
            <w:pPr>
              <w:pStyle w:val="a3"/>
              <w:tabs>
                <w:tab w:val="left" w:pos="567"/>
              </w:tabs>
              <w:spacing w:after="0" w:line="240" w:lineRule="auto"/>
              <w:ind w:firstLine="0"/>
              <w:rPr>
                <w:rFonts w:ascii="Times New Roman" w:hAnsi="Times New Roman"/>
                <w:color w:val="000000" w:themeColor="text1"/>
                <w:szCs w:val="22"/>
                <w:lang w:val="en-US"/>
              </w:rPr>
            </w:pPr>
            <w:r w:rsidRPr="00D55714">
              <w:rPr>
                <w:rFonts w:ascii="Times New Roman" w:hAnsi="Times New Roman"/>
                <w:color w:val="000000" w:themeColor="text1"/>
                <w:szCs w:val="22"/>
                <w:lang w:val="en-US"/>
              </w:rPr>
              <w:t>Trainings/seminars to study international best practices</w:t>
            </w:r>
          </w:p>
        </w:tc>
      </w:tr>
      <w:tr w:rsidR="005C2AC0" w:rsidRPr="00D55714" w:rsidTr="00F24F8C">
        <w:tc>
          <w:tcPr>
            <w:tcW w:w="438" w:type="dxa"/>
          </w:tcPr>
          <w:p w:rsidR="006F4A8E" w:rsidRPr="005C2AC0" w:rsidRDefault="00907740" w:rsidP="00B16224">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5</w:t>
            </w:r>
          </w:p>
        </w:tc>
        <w:tc>
          <w:tcPr>
            <w:tcW w:w="3248" w:type="dxa"/>
          </w:tcPr>
          <w:p w:rsidR="006F4A8E" w:rsidRPr="00D55714" w:rsidRDefault="00D55714" w:rsidP="008D75FD">
            <w:pPr>
              <w:pStyle w:val="a3"/>
              <w:tabs>
                <w:tab w:val="left" w:pos="567"/>
              </w:tabs>
              <w:spacing w:after="0" w:line="240" w:lineRule="auto"/>
              <w:ind w:firstLine="0"/>
              <w:rPr>
                <w:rFonts w:ascii="Times New Roman" w:hAnsi="Times New Roman"/>
                <w:color w:val="000000" w:themeColor="text1"/>
                <w:szCs w:val="22"/>
                <w:lang w:val="en-US"/>
              </w:rPr>
            </w:pPr>
            <w:r w:rsidRPr="00D55714">
              <w:rPr>
                <w:rFonts w:ascii="Times New Roman" w:hAnsi="Times New Roman"/>
                <w:color w:val="000000" w:themeColor="text1"/>
                <w:szCs w:val="22"/>
                <w:lang w:val="en-US"/>
              </w:rPr>
              <w:t xml:space="preserve">Exchange of experience in integrating ESG factors into business processes across the Holding group, including the </w:t>
            </w:r>
            <w:r w:rsidRPr="00D55714">
              <w:rPr>
                <w:rFonts w:ascii="Times New Roman" w:hAnsi="Times New Roman"/>
                <w:color w:val="000000" w:themeColor="text1"/>
                <w:szCs w:val="22"/>
                <w:lang w:val="en-US"/>
              </w:rPr>
              <w:lastRenderedPageBreak/>
              <w:t>development of proposals to improve the sustainable development system</w:t>
            </w:r>
          </w:p>
        </w:tc>
        <w:tc>
          <w:tcPr>
            <w:tcW w:w="1985" w:type="dxa"/>
          </w:tcPr>
          <w:p w:rsidR="006F4A8E" w:rsidRPr="00B23ABE" w:rsidRDefault="00B23ABE" w:rsidP="00B16224">
            <w:pPr>
              <w:pStyle w:val="a3"/>
              <w:tabs>
                <w:tab w:val="left" w:pos="567"/>
              </w:tabs>
              <w:spacing w:after="0" w:line="240" w:lineRule="auto"/>
              <w:ind w:firstLine="0"/>
              <w:rPr>
                <w:rFonts w:ascii="Times New Roman" w:hAnsi="Times New Roman"/>
                <w:color w:val="000000" w:themeColor="text1"/>
                <w:szCs w:val="22"/>
                <w:lang w:val="en-US"/>
              </w:rPr>
            </w:pPr>
            <w:r w:rsidRPr="00B23ABE">
              <w:rPr>
                <w:rFonts w:ascii="Times New Roman" w:hAnsi="Times New Roman"/>
                <w:color w:val="000000" w:themeColor="text1"/>
                <w:szCs w:val="22"/>
                <w:lang w:val="en-US"/>
              </w:rPr>
              <w:lastRenderedPageBreak/>
              <w:t>Department of Strategic Analysis and Corporate Development</w:t>
            </w:r>
            <w:r w:rsidR="006F4A8E" w:rsidRPr="00B23ABE">
              <w:rPr>
                <w:rFonts w:ascii="Times New Roman" w:hAnsi="Times New Roman"/>
                <w:color w:val="000000" w:themeColor="text1"/>
                <w:szCs w:val="22"/>
                <w:lang w:val="en-US"/>
              </w:rPr>
              <w:t xml:space="preserve">, </w:t>
            </w:r>
            <w:r w:rsidRPr="00B23ABE">
              <w:rPr>
                <w:rFonts w:ascii="Times New Roman" w:hAnsi="Times New Roman"/>
                <w:color w:val="000000" w:themeColor="text1"/>
                <w:szCs w:val="22"/>
                <w:lang w:val="en-US"/>
              </w:rPr>
              <w:lastRenderedPageBreak/>
              <w:t>Department of Green and International Cooperation</w:t>
            </w:r>
            <w:r w:rsidR="006F4A8E" w:rsidRPr="00B23ABE">
              <w:rPr>
                <w:rFonts w:ascii="Times New Roman" w:hAnsi="Times New Roman"/>
                <w:color w:val="000000" w:themeColor="text1"/>
                <w:szCs w:val="22"/>
                <w:lang w:val="en-US"/>
              </w:rPr>
              <w:t xml:space="preserve">, </w:t>
            </w:r>
            <w:r w:rsidRPr="00B23ABE">
              <w:rPr>
                <w:rFonts w:ascii="Times New Roman" w:hAnsi="Times New Roman"/>
                <w:color w:val="000000" w:themeColor="text1"/>
                <w:szCs w:val="22"/>
                <w:lang w:val="en-US"/>
              </w:rPr>
              <w:t>Structural Units (as agreed)</w:t>
            </w:r>
          </w:p>
        </w:tc>
        <w:tc>
          <w:tcPr>
            <w:tcW w:w="1843" w:type="dxa"/>
          </w:tcPr>
          <w:p w:rsidR="006F4A8E" w:rsidRPr="00D55714" w:rsidRDefault="00D55714" w:rsidP="0004674E">
            <w:pPr>
              <w:pStyle w:val="a3"/>
              <w:tabs>
                <w:tab w:val="left" w:pos="567"/>
              </w:tabs>
              <w:spacing w:after="0" w:line="240" w:lineRule="auto"/>
              <w:ind w:firstLine="0"/>
              <w:rPr>
                <w:rFonts w:ascii="Times New Roman" w:hAnsi="Times New Roman"/>
                <w:color w:val="000000" w:themeColor="text1"/>
                <w:szCs w:val="22"/>
                <w:lang w:val="en-US"/>
              </w:rPr>
            </w:pPr>
            <w:r w:rsidRPr="00D55714">
              <w:rPr>
                <w:rFonts w:ascii="Times New Roman" w:hAnsi="Times New Roman"/>
                <w:color w:val="000000" w:themeColor="text1"/>
                <w:szCs w:val="22"/>
                <w:lang w:val="en-US"/>
              </w:rPr>
              <w:lastRenderedPageBreak/>
              <w:t>Annually (subject to coordination with the Holding) / as needed</w:t>
            </w:r>
          </w:p>
        </w:tc>
        <w:tc>
          <w:tcPr>
            <w:tcW w:w="2860" w:type="dxa"/>
          </w:tcPr>
          <w:p w:rsidR="006F4A8E" w:rsidRPr="00D55714" w:rsidRDefault="00D55714" w:rsidP="00F4227C">
            <w:pPr>
              <w:pStyle w:val="a3"/>
              <w:tabs>
                <w:tab w:val="left" w:pos="567"/>
              </w:tabs>
              <w:spacing w:after="0" w:line="240" w:lineRule="auto"/>
              <w:ind w:firstLine="0"/>
              <w:rPr>
                <w:rFonts w:ascii="Times New Roman" w:hAnsi="Times New Roman"/>
                <w:color w:val="000000" w:themeColor="text1"/>
                <w:szCs w:val="22"/>
                <w:lang w:val="en-US"/>
              </w:rPr>
            </w:pPr>
            <w:r w:rsidRPr="00D55714">
              <w:rPr>
                <w:rFonts w:ascii="Times New Roman" w:hAnsi="Times New Roman"/>
                <w:color w:val="000000" w:themeColor="text1"/>
                <w:szCs w:val="22"/>
                <w:lang w:val="en-US"/>
              </w:rPr>
              <w:t>Roundtable meeting minutes with proposals</w:t>
            </w:r>
          </w:p>
        </w:tc>
      </w:tr>
      <w:tr w:rsidR="005C2AC0" w:rsidRPr="00DD60FB" w:rsidTr="00F24F8C">
        <w:tc>
          <w:tcPr>
            <w:tcW w:w="438" w:type="dxa"/>
          </w:tcPr>
          <w:p w:rsidR="00A21329" w:rsidRPr="005C2AC0" w:rsidRDefault="00907740" w:rsidP="006F5637">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lastRenderedPageBreak/>
              <w:t>6</w:t>
            </w:r>
          </w:p>
        </w:tc>
        <w:tc>
          <w:tcPr>
            <w:tcW w:w="3248" w:type="dxa"/>
          </w:tcPr>
          <w:p w:rsidR="00A21329" w:rsidRPr="00DD60FB" w:rsidRDefault="00DD60FB" w:rsidP="00434E16">
            <w:pPr>
              <w:pStyle w:val="a3"/>
              <w:tabs>
                <w:tab w:val="left" w:pos="567"/>
              </w:tabs>
              <w:spacing w:after="0" w:line="240" w:lineRule="auto"/>
              <w:ind w:firstLine="0"/>
              <w:rPr>
                <w:rFonts w:ascii="Times New Roman" w:hAnsi="Times New Roman"/>
                <w:color w:val="000000" w:themeColor="text1"/>
                <w:szCs w:val="22"/>
                <w:lang w:val="en-US"/>
              </w:rPr>
            </w:pPr>
            <w:r w:rsidRPr="00DD60FB">
              <w:rPr>
                <w:rFonts w:ascii="Times New Roman" w:hAnsi="Times New Roman"/>
                <w:color w:val="000000" w:themeColor="text1"/>
                <w:szCs w:val="22"/>
                <w:lang w:val="en-US"/>
              </w:rPr>
              <w:t>Inclusion of information on the implementation of ESG initiatives into the Fund’s activities in the Development Strategy of the Fund for 2024–2033</w:t>
            </w:r>
          </w:p>
        </w:tc>
        <w:tc>
          <w:tcPr>
            <w:tcW w:w="1985" w:type="dxa"/>
          </w:tcPr>
          <w:p w:rsidR="00A21329" w:rsidRPr="00B23ABE" w:rsidRDefault="00B23ABE" w:rsidP="006F5637">
            <w:pPr>
              <w:pStyle w:val="a3"/>
              <w:tabs>
                <w:tab w:val="left" w:pos="567"/>
              </w:tabs>
              <w:spacing w:after="0" w:line="240" w:lineRule="auto"/>
              <w:ind w:firstLine="0"/>
              <w:rPr>
                <w:rFonts w:ascii="Times New Roman" w:hAnsi="Times New Roman"/>
                <w:color w:val="000000" w:themeColor="text1"/>
                <w:szCs w:val="22"/>
                <w:lang w:val="en-US"/>
              </w:rPr>
            </w:pPr>
            <w:r w:rsidRPr="00B23ABE">
              <w:rPr>
                <w:rFonts w:ascii="Times New Roman" w:hAnsi="Times New Roman"/>
                <w:color w:val="000000" w:themeColor="text1"/>
                <w:szCs w:val="22"/>
                <w:lang w:val="en-US"/>
              </w:rPr>
              <w:t>Department of Strategic Analysis and Corporate Development</w:t>
            </w:r>
          </w:p>
        </w:tc>
        <w:tc>
          <w:tcPr>
            <w:tcW w:w="1843" w:type="dxa"/>
          </w:tcPr>
          <w:p w:rsidR="00A21329" w:rsidRPr="005C2AC0" w:rsidRDefault="00DD60FB" w:rsidP="006F5637">
            <w:pPr>
              <w:pStyle w:val="a3"/>
              <w:tabs>
                <w:tab w:val="left" w:pos="567"/>
              </w:tabs>
              <w:spacing w:after="0" w:line="240" w:lineRule="auto"/>
              <w:ind w:firstLine="0"/>
              <w:rPr>
                <w:rFonts w:ascii="Times New Roman" w:hAnsi="Times New Roman"/>
                <w:color w:val="000000" w:themeColor="text1"/>
                <w:szCs w:val="22"/>
              </w:rPr>
            </w:pPr>
            <w:r>
              <w:rPr>
                <w:rFonts w:ascii="Times New Roman" w:hAnsi="Times New Roman"/>
                <w:color w:val="000000" w:themeColor="text1"/>
                <w:szCs w:val="22"/>
                <w:lang w:val="en-US"/>
              </w:rPr>
              <w:t>by</w:t>
            </w:r>
            <w:r w:rsidR="00A82812" w:rsidRPr="005C2AC0">
              <w:rPr>
                <w:rFonts w:ascii="Times New Roman" w:hAnsi="Times New Roman"/>
                <w:color w:val="000000" w:themeColor="text1"/>
                <w:szCs w:val="22"/>
              </w:rPr>
              <w:t xml:space="preserve"> 31.12.2023</w:t>
            </w:r>
          </w:p>
        </w:tc>
        <w:tc>
          <w:tcPr>
            <w:tcW w:w="2860" w:type="dxa"/>
          </w:tcPr>
          <w:p w:rsidR="00A21329" w:rsidRPr="00DD60FB" w:rsidRDefault="00DD60FB" w:rsidP="00A82812">
            <w:pPr>
              <w:pStyle w:val="a3"/>
              <w:tabs>
                <w:tab w:val="left" w:pos="567"/>
              </w:tabs>
              <w:spacing w:after="0" w:line="240" w:lineRule="auto"/>
              <w:ind w:firstLine="0"/>
              <w:rPr>
                <w:rFonts w:ascii="Times New Roman" w:hAnsi="Times New Roman"/>
                <w:color w:val="000000" w:themeColor="text1"/>
                <w:szCs w:val="22"/>
                <w:lang w:val="en-US"/>
              </w:rPr>
            </w:pPr>
            <w:r w:rsidRPr="00DD60FB">
              <w:rPr>
                <w:rFonts w:ascii="Times New Roman" w:hAnsi="Times New Roman"/>
                <w:color w:val="000000" w:themeColor="text1"/>
                <w:szCs w:val="22"/>
                <w:lang w:val="en-US"/>
              </w:rPr>
              <w:t>Development Strategy of the Fund for 2024–2033 (Resolution of the Fund’s Board of Directors)</w:t>
            </w:r>
          </w:p>
        </w:tc>
      </w:tr>
      <w:tr w:rsidR="005C2AC0" w:rsidRPr="00DD60FB" w:rsidTr="00F24F8C">
        <w:tc>
          <w:tcPr>
            <w:tcW w:w="438" w:type="dxa"/>
          </w:tcPr>
          <w:p w:rsidR="0008001D" w:rsidRPr="005C2AC0" w:rsidRDefault="00907740" w:rsidP="0008001D">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7</w:t>
            </w:r>
          </w:p>
        </w:tc>
        <w:tc>
          <w:tcPr>
            <w:tcW w:w="3248" w:type="dxa"/>
          </w:tcPr>
          <w:p w:rsidR="0008001D" w:rsidRPr="00DD60FB" w:rsidRDefault="00DD60FB" w:rsidP="0008001D">
            <w:pPr>
              <w:pStyle w:val="a3"/>
              <w:tabs>
                <w:tab w:val="left" w:pos="567"/>
              </w:tabs>
              <w:spacing w:after="0" w:line="240" w:lineRule="auto"/>
              <w:ind w:firstLine="0"/>
              <w:rPr>
                <w:rFonts w:ascii="Times New Roman" w:hAnsi="Times New Roman"/>
                <w:color w:val="000000" w:themeColor="text1"/>
                <w:szCs w:val="22"/>
                <w:lang w:val="en-US"/>
              </w:rPr>
            </w:pPr>
            <w:r w:rsidRPr="00DD60FB">
              <w:rPr>
                <w:rFonts w:ascii="Times New Roman" w:hAnsi="Times New Roman"/>
                <w:color w:val="000000" w:themeColor="text1"/>
                <w:szCs w:val="22"/>
                <w:lang w:val="en-US"/>
              </w:rPr>
              <w:t>Monitoring of the target indicators of the Fund’s Development Strategy for 2024–2033</w:t>
            </w:r>
          </w:p>
        </w:tc>
        <w:tc>
          <w:tcPr>
            <w:tcW w:w="1985" w:type="dxa"/>
          </w:tcPr>
          <w:p w:rsidR="0008001D" w:rsidRPr="00B23ABE" w:rsidRDefault="00B23ABE" w:rsidP="0008001D">
            <w:pPr>
              <w:pStyle w:val="a3"/>
              <w:tabs>
                <w:tab w:val="left" w:pos="567"/>
              </w:tabs>
              <w:spacing w:after="0" w:line="240" w:lineRule="auto"/>
              <w:ind w:firstLine="0"/>
              <w:rPr>
                <w:rFonts w:ascii="Times New Roman" w:hAnsi="Times New Roman"/>
                <w:color w:val="000000" w:themeColor="text1"/>
                <w:szCs w:val="22"/>
                <w:lang w:val="en-US"/>
              </w:rPr>
            </w:pPr>
            <w:r w:rsidRPr="00B23ABE">
              <w:rPr>
                <w:rFonts w:ascii="Times New Roman" w:hAnsi="Times New Roman"/>
                <w:color w:val="000000" w:themeColor="text1"/>
                <w:szCs w:val="22"/>
                <w:lang w:val="en-US"/>
              </w:rPr>
              <w:t>Department of Strategic Analysis and Corporate Development</w:t>
            </w:r>
          </w:p>
        </w:tc>
        <w:tc>
          <w:tcPr>
            <w:tcW w:w="1843" w:type="dxa"/>
          </w:tcPr>
          <w:p w:rsidR="0008001D" w:rsidRPr="005C2AC0" w:rsidRDefault="00DD60FB" w:rsidP="0008001D">
            <w:pPr>
              <w:pStyle w:val="a3"/>
              <w:tabs>
                <w:tab w:val="left" w:pos="567"/>
              </w:tabs>
              <w:spacing w:after="0" w:line="240" w:lineRule="auto"/>
              <w:ind w:firstLine="0"/>
              <w:rPr>
                <w:rFonts w:ascii="Times New Roman" w:hAnsi="Times New Roman"/>
                <w:color w:val="000000" w:themeColor="text1"/>
                <w:szCs w:val="22"/>
              </w:rPr>
            </w:pPr>
            <w:r w:rsidRPr="00D55714">
              <w:rPr>
                <w:rFonts w:ascii="Times New Roman" w:hAnsi="Times New Roman"/>
                <w:color w:val="000000" w:themeColor="text1"/>
                <w:szCs w:val="22"/>
                <w:lang w:val="en-US"/>
              </w:rPr>
              <w:t>Annually</w:t>
            </w:r>
          </w:p>
        </w:tc>
        <w:tc>
          <w:tcPr>
            <w:tcW w:w="2860" w:type="dxa"/>
          </w:tcPr>
          <w:p w:rsidR="0008001D" w:rsidRPr="00DD60FB" w:rsidRDefault="00DD60FB" w:rsidP="0008001D">
            <w:pPr>
              <w:pStyle w:val="a3"/>
              <w:tabs>
                <w:tab w:val="left" w:pos="567"/>
              </w:tabs>
              <w:spacing w:after="0" w:line="240" w:lineRule="auto"/>
              <w:ind w:firstLine="0"/>
              <w:rPr>
                <w:rFonts w:ascii="Times New Roman" w:hAnsi="Times New Roman"/>
                <w:color w:val="000000" w:themeColor="text1"/>
                <w:szCs w:val="22"/>
                <w:lang w:val="en-US"/>
              </w:rPr>
            </w:pPr>
            <w:r w:rsidRPr="00DD60FB">
              <w:rPr>
                <w:rFonts w:ascii="Times New Roman" w:hAnsi="Times New Roman"/>
                <w:color w:val="000000" w:themeColor="text1"/>
                <w:szCs w:val="22"/>
                <w:lang w:val="en-US"/>
              </w:rPr>
              <w:t>Report on the implementation of the Fund’s Development Strategy for 2024–2033 (Form 4 of the Development Plan)</w:t>
            </w:r>
          </w:p>
        </w:tc>
      </w:tr>
      <w:tr w:rsidR="005C2AC0" w:rsidRPr="00DD60FB" w:rsidTr="00F24F8C">
        <w:tc>
          <w:tcPr>
            <w:tcW w:w="438" w:type="dxa"/>
          </w:tcPr>
          <w:p w:rsidR="0008001D" w:rsidRPr="005C2AC0" w:rsidRDefault="00907740" w:rsidP="0008001D">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8</w:t>
            </w:r>
          </w:p>
        </w:tc>
        <w:tc>
          <w:tcPr>
            <w:tcW w:w="3248" w:type="dxa"/>
          </w:tcPr>
          <w:p w:rsidR="0008001D" w:rsidRPr="00DD60FB" w:rsidRDefault="00DD60FB" w:rsidP="0008001D">
            <w:pPr>
              <w:pStyle w:val="a3"/>
              <w:tabs>
                <w:tab w:val="left" w:pos="567"/>
              </w:tabs>
              <w:spacing w:after="0" w:line="240" w:lineRule="auto"/>
              <w:ind w:firstLine="0"/>
              <w:rPr>
                <w:rFonts w:ascii="Times New Roman" w:hAnsi="Times New Roman"/>
                <w:color w:val="000000" w:themeColor="text1"/>
                <w:szCs w:val="22"/>
                <w:lang w:val="en-US"/>
              </w:rPr>
            </w:pPr>
            <w:r w:rsidRPr="00DD60FB">
              <w:rPr>
                <w:rFonts w:ascii="Times New Roman" w:hAnsi="Times New Roman"/>
                <w:color w:val="000000" w:themeColor="text1"/>
                <w:szCs w:val="22"/>
                <w:lang w:val="en-US"/>
              </w:rPr>
              <w:t>Enhancement of ESG aspects in the annual report prepared in accordance with GRI standards</w:t>
            </w:r>
          </w:p>
        </w:tc>
        <w:tc>
          <w:tcPr>
            <w:tcW w:w="1985" w:type="dxa"/>
          </w:tcPr>
          <w:p w:rsidR="0008001D" w:rsidRPr="00B23ABE" w:rsidRDefault="00B23ABE" w:rsidP="0008001D">
            <w:pPr>
              <w:pStyle w:val="a3"/>
              <w:tabs>
                <w:tab w:val="left" w:pos="567"/>
              </w:tabs>
              <w:spacing w:after="0" w:line="240" w:lineRule="auto"/>
              <w:ind w:firstLine="0"/>
              <w:rPr>
                <w:rFonts w:ascii="Times New Roman" w:hAnsi="Times New Roman"/>
                <w:color w:val="000000" w:themeColor="text1"/>
                <w:szCs w:val="22"/>
                <w:lang w:val="en-US"/>
              </w:rPr>
            </w:pPr>
            <w:r w:rsidRPr="00B23ABE">
              <w:rPr>
                <w:rFonts w:ascii="Times New Roman" w:hAnsi="Times New Roman"/>
                <w:color w:val="000000" w:themeColor="text1"/>
                <w:szCs w:val="22"/>
                <w:lang w:val="en-US"/>
              </w:rPr>
              <w:t>Department of Strategic Analysis and Corporate Development</w:t>
            </w:r>
          </w:p>
        </w:tc>
        <w:tc>
          <w:tcPr>
            <w:tcW w:w="1843" w:type="dxa"/>
          </w:tcPr>
          <w:p w:rsidR="0008001D" w:rsidRPr="005C2AC0" w:rsidRDefault="00DD60FB" w:rsidP="0008001D">
            <w:pPr>
              <w:pStyle w:val="a3"/>
              <w:tabs>
                <w:tab w:val="left" w:pos="567"/>
              </w:tabs>
              <w:spacing w:after="0" w:line="240" w:lineRule="auto"/>
              <w:ind w:firstLine="0"/>
              <w:rPr>
                <w:rFonts w:ascii="Times New Roman" w:hAnsi="Times New Roman"/>
                <w:color w:val="000000" w:themeColor="text1"/>
                <w:szCs w:val="22"/>
              </w:rPr>
            </w:pPr>
            <w:r w:rsidRPr="00D55714">
              <w:rPr>
                <w:rFonts w:ascii="Times New Roman" w:hAnsi="Times New Roman"/>
                <w:color w:val="000000" w:themeColor="text1"/>
                <w:szCs w:val="22"/>
                <w:lang w:val="en-US"/>
              </w:rPr>
              <w:t xml:space="preserve">Annually </w:t>
            </w:r>
          </w:p>
        </w:tc>
        <w:tc>
          <w:tcPr>
            <w:tcW w:w="2860" w:type="dxa"/>
          </w:tcPr>
          <w:p w:rsidR="0008001D" w:rsidRPr="00DD60FB" w:rsidRDefault="00DD60FB" w:rsidP="00297024">
            <w:pPr>
              <w:pStyle w:val="a3"/>
              <w:tabs>
                <w:tab w:val="left" w:pos="567"/>
              </w:tabs>
              <w:spacing w:after="0" w:line="240" w:lineRule="auto"/>
              <w:ind w:firstLine="0"/>
              <w:rPr>
                <w:rFonts w:ascii="Times New Roman" w:hAnsi="Times New Roman"/>
                <w:color w:val="000000" w:themeColor="text1"/>
                <w:szCs w:val="22"/>
                <w:lang w:val="en-US"/>
              </w:rPr>
            </w:pPr>
            <w:r w:rsidRPr="00DD60FB">
              <w:rPr>
                <w:rFonts w:ascii="Times New Roman" w:hAnsi="Times New Roman"/>
                <w:color w:val="000000" w:themeColor="text1"/>
                <w:szCs w:val="22"/>
                <w:lang w:val="en-US"/>
              </w:rPr>
              <w:t>The Fund’s Annual Report for the reporting year</w:t>
            </w:r>
          </w:p>
        </w:tc>
      </w:tr>
      <w:tr w:rsidR="005C2AC0" w:rsidRPr="00EF0A58" w:rsidTr="00F24F8C">
        <w:tc>
          <w:tcPr>
            <w:tcW w:w="438" w:type="dxa"/>
          </w:tcPr>
          <w:p w:rsidR="001579AE" w:rsidRPr="005C2AC0" w:rsidRDefault="00907740" w:rsidP="0008001D">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9</w:t>
            </w:r>
          </w:p>
        </w:tc>
        <w:tc>
          <w:tcPr>
            <w:tcW w:w="3248" w:type="dxa"/>
          </w:tcPr>
          <w:p w:rsidR="001579AE" w:rsidRPr="00EF0A58" w:rsidRDefault="00EF0A58" w:rsidP="003B41B0">
            <w:pPr>
              <w:pStyle w:val="a3"/>
              <w:tabs>
                <w:tab w:val="left" w:pos="567"/>
              </w:tabs>
              <w:spacing w:after="0" w:line="240" w:lineRule="auto"/>
              <w:ind w:firstLine="0"/>
              <w:rPr>
                <w:rFonts w:ascii="Times New Roman" w:hAnsi="Times New Roman"/>
                <w:color w:val="000000" w:themeColor="text1"/>
                <w:szCs w:val="22"/>
                <w:lang w:val="en-US"/>
              </w:rPr>
            </w:pPr>
            <w:r w:rsidRPr="00EF0A58">
              <w:rPr>
                <w:rFonts w:ascii="Times New Roman" w:hAnsi="Times New Roman"/>
                <w:color w:val="000000" w:themeColor="text1"/>
                <w:szCs w:val="22"/>
                <w:lang w:val="en-US"/>
              </w:rPr>
              <w:t>Creation and maintenance of a dedicated section on the Fund’s corporate website, in three languages (Kazakh, Russian, and English), providing disclosure of information on existing documents and activities carried out by the Fund within the ESG framework, including the Fund’s contribution to the achievement of the United Nations Sustainable Development Goals (UN SDGs)</w:t>
            </w:r>
          </w:p>
        </w:tc>
        <w:tc>
          <w:tcPr>
            <w:tcW w:w="1985" w:type="dxa"/>
          </w:tcPr>
          <w:p w:rsidR="001579AE" w:rsidRPr="00EF0A58" w:rsidRDefault="00EF0A58" w:rsidP="00494EBD">
            <w:pPr>
              <w:pStyle w:val="a3"/>
              <w:tabs>
                <w:tab w:val="left" w:pos="567"/>
              </w:tabs>
              <w:spacing w:after="0" w:line="240" w:lineRule="auto"/>
              <w:ind w:firstLine="0"/>
              <w:rPr>
                <w:rFonts w:ascii="Times New Roman" w:hAnsi="Times New Roman"/>
                <w:color w:val="000000" w:themeColor="text1"/>
                <w:szCs w:val="22"/>
                <w:lang w:val="en-US"/>
              </w:rPr>
            </w:pPr>
            <w:r w:rsidRPr="00EF0A58">
              <w:rPr>
                <w:rFonts w:ascii="Times New Roman" w:hAnsi="Times New Roman"/>
                <w:color w:val="000000" w:themeColor="text1"/>
                <w:szCs w:val="22"/>
                <w:lang w:val="en-US"/>
              </w:rPr>
              <w:t>Marketing Department, Department of Strategic Analysis and Corporate Development, Structural Units (as agreed, within the scope of their respective activities and documents)</w:t>
            </w:r>
          </w:p>
        </w:tc>
        <w:tc>
          <w:tcPr>
            <w:tcW w:w="1843" w:type="dxa"/>
          </w:tcPr>
          <w:p w:rsidR="001579AE" w:rsidRPr="00EF0A58" w:rsidRDefault="00EF0A58" w:rsidP="0008001D">
            <w:pPr>
              <w:pStyle w:val="a3"/>
              <w:tabs>
                <w:tab w:val="left" w:pos="567"/>
              </w:tabs>
              <w:spacing w:after="0" w:line="240" w:lineRule="auto"/>
              <w:ind w:firstLine="0"/>
              <w:rPr>
                <w:rFonts w:ascii="Times New Roman" w:hAnsi="Times New Roman"/>
                <w:color w:val="000000" w:themeColor="text1"/>
                <w:szCs w:val="22"/>
                <w:lang w:val="en-US"/>
              </w:rPr>
            </w:pPr>
            <w:r w:rsidRPr="00EF0A58">
              <w:rPr>
                <w:rFonts w:ascii="Times New Roman" w:hAnsi="Times New Roman"/>
                <w:color w:val="000000" w:themeColor="text1"/>
                <w:szCs w:val="22"/>
                <w:lang w:val="en-US"/>
              </w:rPr>
              <w:t>Creation by 31 December 2023 and ongoing updates on a continuous basis</w:t>
            </w:r>
          </w:p>
        </w:tc>
        <w:tc>
          <w:tcPr>
            <w:tcW w:w="2860" w:type="dxa"/>
          </w:tcPr>
          <w:p w:rsidR="001579AE" w:rsidRPr="00EF0A58" w:rsidRDefault="00EF0A58" w:rsidP="0019512E">
            <w:pPr>
              <w:pStyle w:val="a3"/>
              <w:tabs>
                <w:tab w:val="left" w:pos="567"/>
              </w:tabs>
              <w:spacing w:after="0" w:line="240" w:lineRule="auto"/>
              <w:ind w:firstLine="0"/>
              <w:rPr>
                <w:rFonts w:ascii="Times New Roman" w:hAnsi="Times New Roman"/>
                <w:color w:val="000000" w:themeColor="text1"/>
                <w:szCs w:val="22"/>
                <w:lang w:val="en-US"/>
              </w:rPr>
            </w:pPr>
            <w:r w:rsidRPr="00EF0A58">
              <w:rPr>
                <w:rFonts w:ascii="Times New Roman" w:hAnsi="Times New Roman"/>
                <w:color w:val="000000" w:themeColor="text1"/>
                <w:szCs w:val="22"/>
                <w:lang w:val="en-US"/>
              </w:rPr>
              <w:t>Information published on the Fund’s corporate website in three languages (Kazakh, Russian, English)</w:t>
            </w:r>
          </w:p>
        </w:tc>
      </w:tr>
      <w:tr w:rsidR="005C2AC0" w:rsidRPr="00411DA6" w:rsidTr="00F24F8C">
        <w:tc>
          <w:tcPr>
            <w:tcW w:w="438" w:type="dxa"/>
          </w:tcPr>
          <w:p w:rsidR="00984863" w:rsidRPr="00371D1B" w:rsidRDefault="00907740" w:rsidP="0008001D">
            <w:pPr>
              <w:pStyle w:val="a3"/>
              <w:tabs>
                <w:tab w:val="left" w:pos="567"/>
              </w:tabs>
              <w:spacing w:after="0" w:line="240" w:lineRule="auto"/>
              <w:ind w:firstLine="0"/>
              <w:rPr>
                <w:rFonts w:ascii="Times New Roman" w:hAnsi="Times New Roman"/>
                <w:color w:val="000000" w:themeColor="text1"/>
                <w:szCs w:val="22"/>
              </w:rPr>
            </w:pPr>
            <w:r w:rsidRPr="00371D1B">
              <w:rPr>
                <w:rFonts w:ascii="Times New Roman" w:hAnsi="Times New Roman"/>
                <w:color w:val="000000" w:themeColor="text1"/>
                <w:szCs w:val="22"/>
              </w:rPr>
              <w:t>10</w:t>
            </w:r>
          </w:p>
        </w:tc>
        <w:tc>
          <w:tcPr>
            <w:tcW w:w="3248" w:type="dxa"/>
          </w:tcPr>
          <w:p w:rsidR="00984863" w:rsidRPr="00EF0A58" w:rsidRDefault="00EF0A58" w:rsidP="00984863">
            <w:pPr>
              <w:pStyle w:val="a3"/>
              <w:tabs>
                <w:tab w:val="left" w:pos="567"/>
              </w:tabs>
              <w:spacing w:after="0" w:line="240" w:lineRule="auto"/>
              <w:ind w:firstLine="0"/>
              <w:rPr>
                <w:rFonts w:ascii="Times New Roman" w:hAnsi="Times New Roman"/>
                <w:color w:val="000000" w:themeColor="text1"/>
                <w:szCs w:val="22"/>
              </w:rPr>
            </w:pPr>
            <w:r w:rsidRPr="00EF0A58">
              <w:rPr>
                <w:rFonts w:ascii="Times New Roman" w:hAnsi="Times New Roman"/>
                <w:color w:val="000000" w:themeColor="text1"/>
                <w:szCs w:val="22"/>
                <w:lang w:val="en-US"/>
              </w:rPr>
              <w:t>Disclosure on the Fund’s corporate website, in three languages (Kazakh, Russian, and English), of information on projects supported by the Fund that contribute within the ESG framework, including health protection, achievement of carbon neutrality, gender equality, conflict prevention, peace preservation, etc.</w:t>
            </w:r>
          </w:p>
        </w:tc>
        <w:tc>
          <w:tcPr>
            <w:tcW w:w="1985" w:type="dxa"/>
          </w:tcPr>
          <w:p w:rsidR="00EF0A58" w:rsidRPr="00EF0A58" w:rsidRDefault="00EF0A58" w:rsidP="00EF0A58">
            <w:pPr>
              <w:pStyle w:val="a3"/>
              <w:numPr>
                <w:ilvl w:val="0"/>
                <w:numId w:val="6"/>
              </w:numPr>
              <w:tabs>
                <w:tab w:val="left" w:pos="35"/>
                <w:tab w:val="left" w:pos="147"/>
              </w:tabs>
              <w:spacing w:after="0" w:line="240" w:lineRule="auto"/>
              <w:ind w:left="147" w:firstLine="0"/>
              <w:jc w:val="left"/>
              <w:rPr>
                <w:rFonts w:ascii="Times New Roman" w:hAnsi="Times New Roman"/>
                <w:color w:val="000000" w:themeColor="text1"/>
                <w:szCs w:val="22"/>
                <w:lang w:val="en-US"/>
              </w:rPr>
            </w:pPr>
            <w:r w:rsidRPr="00EF0A58">
              <w:rPr>
                <w:rFonts w:ascii="Times New Roman" w:hAnsi="Times New Roman"/>
                <w:color w:val="000000" w:themeColor="text1"/>
                <w:szCs w:val="22"/>
                <w:lang w:val="en-US"/>
              </w:rPr>
              <w:t>Department of Project Support and Regional Development</w:t>
            </w:r>
            <w:r w:rsidR="003773AE" w:rsidRPr="00EF0A58">
              <w:rPr>
                <w:rFonts w:ascii="Times New Roman" w:hAnsi="Times New Roman"/>
                <w:color w:val="000000" w:themeColor="text1"/>
                <w:szCs w:val="22"/>
                <w:lang w:val="en-US"/>
              </w:rPr>
              <w:t xml:space="preserve">, </w:t>
            </w:r>
            <w:r w:rsidRPr="00EF0A58">
              <w:rPr>
                <w:rFonts w:ascii="Times New Roman" w:hAnsi="Times New Roman"/>
                <w:color w:val="000000" w:themeColor="text1"/>
                <w:szCs w:val="22"/>
                <w:lang w:val="en-US"/>
              </w:rPr>
              <w:t>Regional Branches</w:t>
            </w:r>
            <w:r w:rsidR="00FB4161" w:rsidRPr="00EF0A58">
              <w:rPr>
                <w:rFonts w:ascii="Times New Roman" w:hAnsi="Times New Roman"/>
                <w:color w:val="000000" w:themeColor="text1"/>
                <w:szCs w:val="22"/>
                <w:lang w:val="en-US"/>
              </w:rPr>
              <w:t>,</w:t>
            </w:r>
            <w:r w:rsidR="002E1A3A" w:rsidRPr="00EF0A58">
              <w:rPr>
                <w:rFonts w:ascii="Times New Roman" w:hAnsi="Times New Roman"/>
                <w:color w:val="000000" w:themeColor="text1"/>
                <w:szCs w:val="22"/>
                <w:lang w:val="en-US"/>
              </w:rPr>
              <w:t xml:space="preserve"> </w:t>
            </w:r>
            <w:r w:rsidRPr="00EF0A58">
              <w:rPr>
                <w:rFonts w:ascii="Times New Roman" w:hAnsi="Times New Roman"/>
                <w:color w:val="000000" w:themeColor="text1"/>
                <w:szCs w:val="22"/>
                <w:lang w:val="en-US"/>
              </w:rPr>
              <w:t>Marketing Department</w:t>
            </w:r>
          </w:p>
          <w:p w:rsidR="00FB4161" w:rsidRPr="00EF0A58" w:rsidRDefault="00EF0A58" w:rsidP="00EF0A58">
            <w:pPr>
              <w:pStyle w:val="a3"/>
              <w:numPr>
                <w:ilvl w:val="0"/>
                <w:numId w:val="6"/>
              </w:numPr>
              <w:tabs>
                <w:tab w:val="left" w:pos="35"/>
                <w:tab w:val="left" w:pos="147"/>
              </w:tabs>
              <w:spacing w:after="0" w:line="240" w:lineRule="auto"/>
              <w:ind w:left="147" w:firstLine="0"/>
              <w:jc w:val="left"/>
              <w:rPr>
                <w:rFonts w:ascii="Times New Roman" w:hAnsi="Times New Roman"/>
                <w:color w:val="000000" w:themeColor="text1"/>
                <w:szCs w:val="22"/>
                <w:lang w:val="en-US"/>
              </w:rPr>
            </w:pPr>
            <w:r w:rsidRPr="00EF0A58">
              <w:rPr>
                <w:rFonts w:ascii="Times New Roman" w:hAnsi="Times New Roman"/>
                <w:color w:val="000000" w:themeColor="text1"/>
                <w:szCs w:val="22"/>
                <w:lang w:val="en-US"/>
              </w:rPr>
              <w:t>Guarantee Department</w:t>
            </w:r>
            <w:r w:rsidR="00FB4161" w:rsidRPr="00EF0A58">
              <w:rPr>
                <w:rFonts w:ascii="Times New Roman" w:hAnsi="Times New Roman"/>
                <w:color w:val="000000" w:themeColor="text1"/>
                <w:szCs w:val="22"/>
                <w:lang w:val="en-US"/>
              </w:rPr>
              <w:t xml:space="preserve">, </w:t>
            </w:r>
            <w:r w:rsidRPr="00EF0A58">
              <w:rPr>
                <w:rFonts w:ascii="Times New Roman" w:hAnsi="Times New Roman"/>
                <w:color w:val="000000" w:themeColor="text1"/>
                <w:szCs w:val="22"/>
                <w:lang w:val="en-US"/>
              </w:rPr>
              <w:t>Subsidy Department</w:t>
            </w:r>
            <w:r w:rsidR="00FB4161" w:rsidRPr="00EF0A58">
              <w:rPr>
                <w:rFonts w:ascii="Times New Roman" w:hAnsi="Times New Roman"/>
                <w:color w:val="000000" w:themeColor="text1"/>
                <w:szCs w:val="22"/>
                <w:lang w:val="en-US"/>
              </w:rPr>
              <w:t xml:space="preserve">, </w:t>
            </w:r>
            <w:r w:rsidRPr="00EF0A58">
              <w:rPr>
                <w:rFonts w:ascii="Times New Roman" w:hAnsi="Times New Roman"/>
                <w:color w:val="000000" w:themeColor="text1"/>
                <w:szCs w:val="22"/>
                <w:lang w:val="en-US"/>
              </w:rPr>
              <w:t xml:space="preserve">Project Financing Department </w:t>
            </w:r>
            <w:r w:rsidR="00FB4161" w:rsidRPr="00EF0A58">
              <w:rPr>
                <w:rFonts w:ascii="Times New Roman" w:hAnsi="Times New Roman"/>
                <w:color w:val="000000" w:themeColor="text1"/>
                <w:szCs w:val="22"/>
                <w:lang w:val="en-US"/>
              </w:rPr>
              <w:t>(</w:t>
            </w:r>
            <w:r w:rsidRPr="00EF0A58">
              <w:rPr>
                <w:rFonts w:ascii="Times New Roman" w:hAnsi="Times New Roman"/>
                <w:color w:val="000000" w:themeColor="text1"/>
                <w:szCs w:val="22"/>
                <w:lang w:val="en-US"/>
              </w:rPr>
              <w:t>upon request</w:t>
            </w:r>
            <w:r w:rsidR="00FB4161" w:rsidRPr="00EF0A58">
              <w:rPr>
                <w:rFonts w:ascii="Times New Roman" w:hAnsi="Times New Roman"/>
                <w:color w:val="000000" w:themeColor="text1"/>
                <w:szCs w:val="22"/>
                <w:lang w:val="en-US"/>
              </w:rPr>
              <w:t>)</w:t>
            </w:r>
          </w:p>
        </w:tc>
        <w:tc>
          <w:tcPr>
            <w:tcW w:w="1843" w:type="dxa"/>
          </w:tcPr>
          <w:p w:rsidR="00984863" w:rsidRPr="00411DA6" w:rsidRDefault="00411DA6" w:rsidP="0008001D">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On an ongoing basis (at least once a year)</w:t>
            </w:r>
          </w:p>
        </w:tc>
        <w:tc>
          <w:tcPr>
            <w:tcW w:w="2860" w:type="dxa"/>
          </w:tcPr>
          <w:p w:rsidR="00984863" w:rsidRPr="00411DA6" w:rsidRDefault="00411DA6" w:rsidP="0019512E">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Information published on the Fund’s corporate website in three languages (Kazakh, Russian, English)</w:t>
            </w:r>
          </w:p>
        </w:tc>
      </w:tr>
      <w:tr w:rsidR="005C2AC0" w:rsidRPr="00411DA6" w:rsidTr="00F24F8C">
        <w:tc>
          <w:tcPr>
            <w:tcW w:w="438" w:type="dxa"/>
          </w:tcPr>
          <w:p w:rsidR="004E65AB" w:rsidRPr="00371D1B" w:rsidRDefault="004E65AB" w:rsidP="004E65AB">
            <w:pPr>
              <w:pStyle w:val="a3"/>
              <w:tabs>
                <w:tab w:val="left" w:pos="567"/>
              </w:tabs>
              <w:spacing w:after="0" w:line="240" w:lineRule="auto"/>
              <w:ind w:firstLine="0"/>
              <w:rPr>
                <w:rFonts w:ascii="Times New Roman" w:hAnsi="Times New Roman"/>
                <w:color w:val="000000" w:themeColor="text1"/>
                <w:szCs w:val="22"/>
              </w:rPr>
            </w:pPr>
            <w:r w:rsidRPr="00371D1B">
              <w:rPr>
                <w:rFonts w:ascii="Times New Roman" w:hAnsi="Times New Roman"/>
                <w:color w:val="000000" w:themeColor="text1"/>
                <w:szCs w:val="22"/>
              </w:rPr>
              <w:t>11</w:t>
            </w:r>
          </w:p>
        </w:tc>
        <w:tc>
          <w:tcPr>
            <w:tcW w:w="3248" w:type="dxa"/>
          </w:tcPr>
          <w:p w:rsidR="004E65AB" w:rsidRPr="00411DA6" w:rsidRDefault="00411DA6" w:rsidP="00BA3CBB">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kk-KZ"/>
              </w:rPr>
              <w:t xml:space="preserve">Development and/or amendment of the Fund’s own support programs, and consideration of amendments to state programs and regulatory documents governing the activities of the front-office block (regulations, etc.), aimed at strengthening support for ESG (including “green”) projects and enhancing </w:t>
            </w:r>
            <w:r w:rsidRPr="00411DA6">
              <w:rPr>
                <w:rFonts w:ascii="Times New Roman" w:hAnsi="Times New Roman"/>
                <w:color w:val="000000" w:themeColor="text1"/>
                <w:szCs w:val="22"/>
                <w:lang w:val="kk-KZ"/>
              </w:rPr>
              <w:lastRenderedPageBreak/>
              <w:t>ESG principles</w:t>
            </w:r>
          </w:p>
        </w:tc>
        <w:tc>
          <w:tcPr>
            <w:tcW w:w="1985" w:type="dxa"/>
          </w:tcPr>
          <w:p w:rsidR="004E65AB" w:rsidRPr="00411DA6" w:rsidRDefault="00411DA6" w:rsidP="004E65AB">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lastRenderedPageBreak/>
              <w:t>Project Financing Department</w:t>
            </w:r>
            <w:r w:rsidR="004E65AB" w:rsidRPr="00411DA6">
              <w:rPr>
                <w:rFonts w:ascii="Times New Roman" w:hAnsi="Times New Roman"/>
                <w:color w:val="000000" w:themeColor="text1"/>
                <w:szCs w:val="22"/>
                <w:lang w:val="en-US"/>
              </w:rPr>
              <w:t xml:space="preserve">, </w:t>
            </w:r>
            <w:r w:rsidRPr="00411DA6">
              <w:rPr>
                <w:rFonts w:ascii="Times New Roman" w:hAnsi="Times New Roman"/>
                <w:color w:val="000000" w:themeColor="text1"/>
                <w:szCs w:val="22"/>
                <w:lang w:val="en-US"/>
              </w:rPr>
              <w:t>Guarantee Department</w:t>
            </w:r>
            <w:r w:rsidR="004E65AB" w:rsidRPr="00411DA6">
              <w:rPr>
                <w:rFonts w:ascii="Times New Roman" w:hAnsi="Times New Roman"/>
                <w:color w:val="000000" w:themeColor="text1"/>
                <w:szCs w:val="22"/>
                <w:lang w:val="en-US"/>
              </w:rPr>
              <w:t xml:space="preserve">, </w:t>
            </w:r>
            <w:r w:rsidRPr="00411DA6">
              <w:rPr>
                <w:rFonts w:ascii="Times New Roman" w:hAnsi="Times New Roman"/>
                <w:color w:val="000000" w:themeColor="text1"/>
                <w:szCs w:val="22"/>
                <w:lang w:val="en-US"/>
              </w:rPr>
              <w:t>Subsidy Department</w:t>
            </w:r>
          </w:p>
          <w:p w:rsidR="004E65AB" w:rsidRPr="00411DA6" w:rsidRDefault="004E65AB" w:rsidP="004E65AB">
            <w:pPr>
              <w:pStyle w:val="a3"/>
              <w:tabs>
                <w:tab w:val="left" w:pos="567"/>
              </w:tabs>
              <w:spacing w:after="0" w:line="240" w:lineRule="auto"/>
              <w:ind w:firstLine="0"/>
              <w:rPr>
                <w:rFonts w:ascii="Times New Roman" w:hAnsi="Times New Roman"/>
                <w:color w:val="000000" w:themeColor="text1"/>
                <w:szCs w:val="22"/>
                <w:lang w:val="en-US"/>
              </w:rPr>
            </w:pPr>
          </w:p>
        </w:tc>
        <w:tc>
          <w:tcPr>
            <w:tcW w:w="1843" w:type="dxa"/>
          </w:tcPr>
          <w:p w:rsidR="004E65AB" w:rsidRPr="00411DA6" w:rsidRDefault="00411DA6" w:rsidP="004E65AB">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Annually starting from 2024 (as needed)</w:t>
            </w:r>
          </w:p>
        </w:tc>
        <w:tc>
          <w:tcPr>
            <w:tcW w:w="2860" w:type="dxa"/>
          </w:tcPr>
          <w:p w:rsidR="004E65AB" w:rsidRPr="00411DA6" w:rsidRDefault="00411DA6" w:rsidP="00084DB2">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Approved internal regulatory documents (IRDs) / approved amendments to the Fund’s own support programs and internal regulations (rules, etc.), as well as submitted proposals for amendments to state programs implemented by the Fund</w:t>
            </w:r>
          </w:p>
        </w:tc>
      </w:tr>
      <w:tr w:rsidR="005C2AC0" w:rsidRPr="00411DA6" w:rsidTr="00F24F8C">
        <w:tc>
          <w:tcPr>
            <w:tcW w:w="438" w:type="dxa"/>
          </w:tcPr>
          <w:p w:rsidR="004E65AB" w:rsidRPr="00371D1B" w:rsidRDefault="004E65AB" w:rsidP="004E65AB">
            <w:pPr>
              <w:pStyle w:val="a3"/>
              <w:tabs>
                <w:tab w:val="left" w:pos="567"/>
              </w:tabs>
              <w:spacing w:after="0" w:line="240" w:lineRule="auto"/>
              <w:ind w:firstLine="0"/>
              <w:rPr>
                <w:rFonts w:ascii="Times New Roman" w:hAnsi="Times New Roman"/>
                <w:color w:val="000000" w:themeColor="text1"/>
                <w:szCs w:val="22"/>
              </w:rPr>
            </w:pPr>
            <w:r w:rsidRPr="00371D1B">
              <w:rPr>
                <w:rFonts w:ascii="Times New Roman" w:hAnsi="Times New Roman"/>
                <w:color w:val="000000" w:themeColor="text1"/>
                <w:szCs w:val="22"/>
              </w:rPr>
              <w:lastRenderedPageBreak/>
              <w:t>12</w:t>
            </w:r>
          </w:p>
        </w:tc>
        <w:tc>
          <w:tcPr>
            <w:tcW w:w="3248" w:type="dxa"/>
          </w:tcPr>
          <w:p w:rsidR="004E65AB" w:rsidRPr="00411DA6" w:rsidRDefault="00411DA6" w:rsidP="00D8160F">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Formation of an ESG project database, broken down by sectors, volume of support provided, and environmental and social impacts</w:t>
            </w:r>
          </w:p>
        </w:tc>
        <w:tc>
          <w:tcPr>
            <w:tcW w:w="1985" w:type="dxa"/>
          </w:tcPr>
          <w:p w:rsidR="004E65AB" w:rsidRPr="00852290" w:rsidRDefault="00852290" w:rsidP="00852290">
            <w:pPr>
              <w:pStyle w:val="a3"/>
              <w:tabs>
                <w:tab w:val="left" w:pos="567"/>
              </w:tabs>
              <w:spacing w:after="0" w:line="240" w:lineRule="auto"/>
              <w:ind w:firstLine="0"/>
              <w:rPr>
                <w:rFonts w:ascii="Times New Roman" w:hAnsi="Times New Roman"/>
                <w:color w:val="000000" w:themeColor="text1"/>
                <w:szCs w:val="22"/>
                <w:lang w:val="en-US"/>
              </w:rPr>
            </w:pPr>
            <w:r w:rsidRPr="00852290">
              <w:rPr>
                <w:rFonts w:ascii="Times New Roman" w:hAnsi="Times New Roman"/>
                <w:color w:val="000000" w:themeColor="text1"/>
                <w:szCs w:val="22"/>
                <w:lang w:val="en-US"/>
              </w:rPr>
              <w:t>Guarantee Department, Subsidy Department, Project Financing Department, Regional Branches,</w:t>
            </w:r>
            <w:r w:rsidRPr="00852290">
              <w:rPr>
                <w:rFonts w:ascii="Times New Roman" w:hAnsi="Times New Roman"/>
                <w:color w:val="000000" w:themeColor="text1"/>
                <w:szCs w:val="22"/>
                <w:lang w:val="en-US"/>
              </w:rPr>
              <w:t xml:space="preserve"> </w:t>
            </w:r>
            <w:r w:rsidRPr="00852290">
              <w:rPr>
                <w:rFonts w:ascii="Times New Roman" w:hAnsi="Times New Roman"/>
                <w:color w:val="000000" w:themeColor="text1"/>
                <w:szCs w:val="22"/>
                <w:lang w:val="en-US"/>
              </w:rPr>
              <w:t>upon request of the Department of Strategic Analysis and Corporate Development</w:t>
            </w:r>
          </w:p>
        </w:tc>
        <w:tc>
          <w:tcPr>
            <w:tcW w:w="1843" w:type="dxa"/>
          </w:tcPr>
          <w:p w:rsidR="004E65AB" w:rsidRPr="00411DA6" w:rsidRDefault="00411DA6" w:rsidP="004E65AB">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Annual and/or quarterly updates</w:t>
            </w:r>
          </w:p>
        </w:tc>
        <w:tc>
          <w:tcPr>
            <w:tcW w:w="2860" w:type="dxa"/>
          </w:tcPr>
          <w:p w:rsidR="004E65AB" w:rsidRPr="00411DA6" w:rsidRDefault="00411DA6" w:rsidP="004E65AB">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Publication of a report on the Fund’s website and submission of the report to the Holding (upon request) for the purpose of placing a unified database on the Holding’s corporate website</w:t>
            </w:r>
          </w:p>
        </w:tc>
      </w:tr>
      <w:tr w:rsidR="005C2AC0" w:rsidRPr="00411DA6"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13</w:t>
            </w:r>
          </w:p>
        </w:tc>
        <w:tc>
          <w:tcPr>
            <w:tcW w:w="3248" w:type="dxa"/>
          </w:tcPr>
          <w:p w:rsidR="004E65AB" w:rsidRPr="00411DA6" w:rsidRDefault="00411DA6" w:rsidP="004E65AB">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Consideration of expanding the ESG-related functions of the Fund’s existing structural units</w:t>
            </w:r>
          </w:p>
        </w:tc>
        <w:tc>
          <w:tcPr>
            <w:tcW w:w="1985" w:type="dxa"/>
          </w:tcPr>
          <w:p w:rsidR="004E65AB" w:rsidRPr="00852290" w:rsidRDefault="00852290" w:rsidP="004E65AB">
            <w:pPr>
              <w:pStyle w:val="a3"/>
              <w:tabs>
                <w:tab w:val="left" w:pos="567"/>
              </w:tabs>
              <w:spacing w:after="0" w:line="240" w:lineRule="auto"/>
              <w:ind w:firstLine="0"/>
              <w:rPr>
                <w:rFonts w:ascii="Times New Roman" w:hAnsi="Times New Roman"/>
                <w:color w:val="000000" w:themeColor="text1"/>
                <w:szCs w:val="22"/>
                <w:lang w:val="en-US"/>
              </w:rPr>
            </w:pPr>
            <w:r w:rsidRPr="00852290">
              <w:rPr>
                <w:rFonts w:ascii="Times New Roman" w:hAnsi="Times New Roman"/>
                <w:color w:val="000000" w:themeColor="text1"/>
                <w:szCs w:val="22"/>
                <w:lang w:val="en-US"/>
              </w:rPr>
              <w:t>Department of Strategic Analysis and Corporate Development</w:t>
            </w:r>
            <w:r w:rsidR="004E65AB" w:rsidRPr="00B23ABE">
              <w:rPr>
                <w:rFonts w:ascii="Times New Roman" w:hAnsi="Times New Roman"/>
                <w:color w:val="000000" w:themeColor="text1"/>
                <w:szCs w:val="22"/>
                <w:lang w:val="en-US"/>
              </w:rPr>
              <w:t xml:space="preserve">, </w:t>
            </w:r>
            <w:r w:rsidR="00B23ABE" w:rsidRPr="00B23ABE">
              <w:rPr>
                <w:rFonts w:ascii="Times New Roman" w:hAnsi="Times New Roman"/>
                <w:color w:val="000000" w:themeColor="text1"/>
                <w:szCs w:val="22"/>
                <w:lang w:val="en-US"/>
              </w:rPr>
              <w:t>Department of Green and International Cooperation</w:t>
            </w:r>
            <w:r w:rsidR="004E65AB" w:rsidRPr="00B23ABE">
              <w:rPr>
                <w:rFonts w:ascii="Times New Roman" w:hAnsi="Times New Roman"/>
                <w:color w:val="000000" w:themeColor="text1"/>
                <w:szCs w:val="22"/>
                <w:lang w:val="en-US"/>
              </w:rPr>
              <w:t xml:space="preserve">, </w:t>
            </w:r>
            <w:r w:rsidRPr="00852290">
              <w:rPr>
                <w:rFonts w:ascii="Times New Roman" w:hAnsi="Times New Roman"/>
                <w:color w:val="000000" w:themeColor="text1"/>
                <w:szCs w:val="22"/>
                <w:lang w:val="en-US"/>
              </w:rPr>
              <w:t>Department of Personnel Development</w:t>
            </w:r>
          </w:p>
        </w:tc>
        <w:tc>
          <w:tcPr>
            <w:tcW w:w="1843" w:type="dxa"/>
          </w:tcPr>
          <w:p w:rsidR="004E65AB" w:rsidRPr="00411DA6" w:rsidRDefault="00411DA6" w:rsidP="004E65AB">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 xml:space="preserve">By 31 December 2024, thereafter as </w:t>
            </w:r>
            <w:proofErr w:type="spellStart"/>
            <w:r w:rsidRPr="00411DA6">
              <w:rPr>
                <w:rFonts w:ascii="Times New Roman" w:hAnsi="Times New Roman"/>
                <w:color w:val="000000" w:themeColor="text1"/>
                <w:szCs w:val="22"/>
                <w:lang w:val="en-US"/>
              </w:rPr>
              <w:t>neede</w:t>
            </w:r>
            <w:proofErr w:type="spellEnd"/>
          </w:p>
        </w:tc>
        <w:tc>
          <w:tcPr>
            <w:tcW w:w="2860" w:type="dxa"/>
          </w:tcPr>
          <w:p w:rsidR="004E65AB" w:rsidRPr="00411DA6" w:rsidRDefault="00411DA6" w:rsidP="004E65AB">
            <w:pPr>
              <w:pStyle w:val="a3"/>
              <w:tabs>
                <w:tab w:val="left" w:pos="567"/>
              </w:tabs>
              <w:spacing w:after="0" w:line="240" w:lineRule="auto"/>
              <w:ind w:firstLine="0"/>
              <w:rPr>
                <w:rFonts w:ascii="Times New Roman" w:hAnsi="Times New Roman"/>
                <w:color w:val="000000" w:themeColor="text1"/>
                <w:szCs w:val="22"/>
                <w:lang w:val="en-US"/>
              </w:rPr>
            </w:pPr>
            <w:r w:rsidRPr="00411DA6">
              <w:rPr>
                <w:rFonts w:ascii="Times New Roman" w:hAnsi="Times New Roman"/>
                <w:color w:val="000000" w:themeColor="text1"/>
                <w:szCs w:val="22"/>
                <w:lang w:val="en-US"/>
              </w:rPr>
              <w:t>Proposals for a new organizational structure and/or allocation of functions and responsibilities among structural units</w:t>
            </w:r>
          </w:p>
        </w:tc>
      </w:tr>
      <w:tr w:rsidR="005C2AC0" w:rsidRPr="00852290"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14</w:t>
            </w:r>
          </w:p>
        </w:tc>
        <w:tc>
          <w:tcPr>
            <w:tcW w:w="3248" w:type="dxa"/>
          </w:tcPr>
          <w:p w:rsidR="004E65AB" w:rsidRPr="00852290" w:rsidRDefault="00852290" w:rsidP="00BA3CBB">
            <w:pPr>
              <w:pStyle w:val="a3"/>
              <w:tabs>
                <w:tab w:val="left" w:pos="567"/>
              </w:tabs>
              <w:spacing w:after="0" w:line="240" w:lineRule="auto"/>
              <w:ind w:firstLine="0"/>
              <w:rPr>
                <w:rFonts w:ascii="Times New Roman" w:hAnsi="Times New Roman"/>
                <w:color w:val="000000" w:themeColor="text1"/>
                <w:szCs w:val="22"/>
                <w:lang w:val="en-US"/>
              </w:rPr>
            </w:pPr>
            <w:r w:rsidRPr="00852290">
              <w:rPr>
                <w:rFonts w:ascii="Times New Roman" w:hAnsi="Times New Roman"/>
                <w:color w:val="000000" w:themeColor="text1"/>
                <w:szCs w:val="22"/>
                <w:lang w:val="en-US"/>
              </w:rPr>
              <w:t>Exploration of the development of green finance mechanisms and opportunities for co-financing with international institutions (including the Asian Development Bank, the European Bank for Reconstruction and Development, etc.), as well as the attraction of low-cost funding from international financial institutions to finance ESG (including “green”) projects</w:t>
            </w:r>
          </w:p>
        </w:tc>
        <w:tc>
          <w:tcPr>
            <w:tcW w:w="1985" w:type="dxa"/>
          </w:tcPr>
          <w:p w:rsidR="004E65AB" w:rsidRPr="00B23ABE" w:rsidRDefault="00852290" w:rsidP="004E65AB">
            <w:pPr>
              <w:pStyle w:val="a3"/>
              <w:tabs>
                <w:tab w:val="left" w:pos="567"/>
              </w:tabs>
              <w:spacing w:after="0" w:line="240" w:lineRule="auto"/>
              <w:ind w:firstLine="0"/>
              <w:rPr>
                <w:rFonts w:ascii="Times New Roman" w:hAnsi="Times New Roman"/>
                <w:color w:val="000000" w:themeColor="text1"/>
                <w:szCs w:val="22"/>
                <w:lang w:val="en-US"/>
              </w:rPr>
            </w:pPr>
            <w:r w:rsidRPr="00852290">
              <w:rPr>
                <w:rFonts w:ascii="Times New Roman" w:hAnsi="Times New Roman"/>
                <w:color w:val="000000" w:themeColor="text1"/>
                <w:szCs w:val="22"/>
                <w:lang w:val="en-US"/>
              </w:rPr>
              <w:t>Department of Green and International Cooperation, Project Financing Department</w:t>
            </w:r>
          </w:p>
        </w:tc>
        <w:tc>
          <w:tcPr>
            <w:tcW w:w="1843" w:type="dxa"/>
          </w:tcPr>
          <w:p w:rsidR="004E65AB" w:rsidRPr="00852290" w:rsidRDefault="00852290" w:rsidP="004E65AB">
            <w:pPr>
              <w:pStyle w:val="a3"/>
              <w:tabs>
                <w:tab w:val="left" w:pos="567"/>
              </w:tabs>
              <w:spacing w:after="0" w:line="240" w:lineRule="auto"/>
              <w:ind w:firstLine="0"/>
              <w:rPr>
                <w:rFonts w:ascii="Times New Roman" w:hAnsi="Times New Roman"/>
                <w:color w:val="000000" w:themeColor="text1"/>
                <w:szCs w:val="22"/>
                <w:lang w:val="en-US"/>
              </w:rPr>
            </w:pPr>
            <w:r w:rsidRPr="00852290">
              <w:rPr>
                <w:rFonts w:ascii="Times New Roman" w:hAnsi="Times New Roman"/>
                <w:color w:val="000000" w:themeColor="text1"/>
                <w:szCs w:val="22"/>
                <w:lang w:val="en-US"/>
              </w:rPr>
              <w:t>Annually starting from 2024 (as needed)</w:t>
            </w:r>
          </w:p>
        </w:tc>
        <w:tc>
          <w:tcPr>
            <w:tcW w:w="2860" w:type="dxa"/>
          </w:tcPr>
          <w:p w:rsidR="004E65AB" w:rsidRPr="00852290" w:rsidRDefault="00852290" w:rsidP="004E65AB">
            <w:pPr>
              <w:pStyle w:val="a3"/>
              <w:tabs>
                <w:tab w:val="left" w:pos="567"/>
              </w:tabs>
              <w:spacing w:after="0" w:line="240" w:lineRule="auto"/>
              <w:ind w:firstLine="0"/>
              <w:rPr>
                <w:rFonts w:ascii="Times New Roman" w:hAnsi="Times New Roman"/>
                <w:color w:val="000000" w:themeColor="text1"/>
                <w:szCs w:val="22"/>
                <w:lang w:val="en-US"/>
              </w:rPr>
            </w:pPr>
            <w:r w:rsidRPr="00852290">
              <w:rPr>
                <w:rFonts w:ascii="Times New Roman" w:hAnsi="Times New Roman"/>
                <w:color w:val="000000" w:themeColor="text1"/>
                <w:szCs w:val="22"/>
                <w:lang w:val="en-US"/>
              </w:rPr>
              <w:t>Green financial instruments/projects (fundraising and/or co-financing)</w:t>
            </w:r>
          </w:p>
        </w:tc>
      </w:tr>
      <w:tr w:rsidR="005C2AC0" w:rsidRPr="00F22D42"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15</w:t>
            </w:r>
          </w:p>
        </w:tc>
        <w:tc>
          <w:tcPr>
            <w:tcW w:w="3248" w:type="dxa"/>
          </w:tcPr>
          <w:p w:rsidR="004E65AB" w:rsidRPr="00852290" w:rsidRDefault="00852290" w:rsidP="004E65AB">
            <w:pPr>
              <w:pStyle w:val="a3"/>
              <w:tabs>
                <w:tab w:val="left" w:pos="567"/>
              </w:tabs>
              <w:spacing w:after="0" w:line="240" w:lineRule="auto"/>
              <w:ind w:firstLine="0"/>
              <w:rPr>
                <w:rFonts w:ascii="Times New Roman" w:hAnsi="Times New Roman"/>
                <w:color w:val="000000" w:themeColor="text1"/>
                <w:szCs w:val="22"/>
                <w:lang w:val="en-US"/>
              </w:rPr>
            </w:pPr>
            <w:r w:rsidRPr="00852290">
              <w:rPr>
                <w:rFonts w:ascii="Times New Roman" w:hAnsi="Times New Roman"/>
                <w:color w:val="000000" w:themeColor="text1"/>
                <w:szCs w:val="22"/>
                <w:lang w:val="en-US"/>
              </w:rPr>
              <w:t>Accreditation with the Green Climate Fund (GCF)</w:t>
            </w:r>
          </w:p>
        </w:tc>
        <w:tc>
          <w:tcPr>
            <w:tcW w:w="1985" w:type="dxa"/>
          </w:tcPr>
          <w:p w:rsidR="004E65AB" w:rsidRPr="00B23ABE" w:rsidRDefault="00852290" w:rsidP="004E65AB">
            <w:pPr>
              <w:pStyle w:val="a3"/>
              <w:tabs>
                <w:tab w:val="left" w:pos="567"/>
              </w:tabs>
              <w:spacing w:after="0" w:line="240" w:lineRule="auto"/>
              <w:ind w:firstLine="0"/>
              <w:rPr>
                <w:rFonts w:ascii="Times New Roman" w:hAnsi="Times New Roman"/>
                <w:color w:val="000000" w:themeColor="text1"/>
                <w:szCs w:val="22"/>
                <w:lang w:val="en-US"/>
              </w:rPr>
            </w:pPr>
            <w:r w:rsidRPr="00852290">
              <w:rPr>
                <w:rFonts w:ascii="Times New Roman" w:hAnsi="Times New Roman"/>
                <w:color w:val="000000" w:themeColor="text1"/>
                <w:szCs w:val="22"/>
                <w:lang w:val="en-US"/>
              </w:rPr>
              <w:t>Department of Green and International Cooperation</w:t>
            </w:r>
          </w:p>
        </w:tc>
        <w:tc>
          <w:tcPr>
            <w:tcW w:w="1843" w:type="dxa"/>
          </w:tcPr>
          <w:p w:rsidR="004E65AB" w:rsidRPr="005C2AC0" w:rsidRDefault="00852290" w:rsidP="004E65AB">
            <w:pPr>
              <w:pStyle w:val="a3"/>
              <w:tabs>
                <w:tab w:val="left" w:pos="567"/>
              </w:tabs>
              <w:spacing w:after="0" w:line="240" w:lineRule="auto"/>
              <w:ind w:firstLine="0"/>
              <w:rPr>
                <w:rFonts w:ascii="Times New Roman" w:hAnsi="Times New Roman"/>
                <w:color w:val="000000" w:themeColor="text1"/>
                <w:szCs w:val="22"/>
              </w:rPr>
            </w:pPr>
            <w:r>
              <w:rPr>
                <w:rFonts w:ascii="Times New Roman" w:hAnsi="Times New Roman"/>
                <w:color w:val="000000" w:themeColor="text1"/>
                <w:szCs w:val="22"/>
              </w:rPr>
              <w:t xml:space="preserve">2025 </w:t>
            </w:r>
          </w:p>
        </w:tc>
        <w:tc>
          <w:tcPr>
            <w:tcW w:w="2860" w:type="dxa"/>
          </w:tcPr>
          <w:p w:rsidR="004E65AB" w:rsidRPr="00F22D42" w:rsidRDefault="00F22D42" w:rsidP="004E65AB">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text1"/>
                <w:szCs w:val="22"/>
                <w:lang w:val="en-US"/>
              </w:rPr>
              <w:t>Obtaining accredited entity status with the Green Climate Fund</w:t>
            </w:r>
          </w:p>
        </w:tc>
      </w:tr>
      <w:tr w:rsidR="005C2AC0" w:rsidRPr="00F22D42"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16</w:t>
            </w:r>
          </w:p>
        </w:tc>
        <w:tc>
          <w:tcPr>
            <w:tcW w:w="3248" w:type="dxa"/>
          </w:tcPr>
          <w:p w:rsidR="004E65AB" w:rsidRPr="00F22D42" w:rsidRDefault="00F22D42" w:rsidP="004E65AB">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dark1"/>
                <w:kern w:val="24"/>
                <w:szCs w:val="28"/>
                <w:lang w:val="kk-KZ"/>
              </w:rPr>
              <w:t>Conducting ESG scoring and/or assigning an ESG rating</w:t>
            </w:r>
          </w:p>
        </w:tc>
        <w:tc>
          <w:tcPr>
            <w:tcW w:w="1985" w:type="dxa"/>
          </w:tcPr>
          <w:p w:rsidR="004E65AB" w:rsidRPr="00B23ABE" w:rsidRDefault="00F22D42" w:rsidP="006E5F53">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text1"/>
                <w:szCs w:val="22"/>
                <w:lang w:val="en-US"/>
              </w:rPr>
              <w:t>Department of Green and International Cooperation</w:t>
            </w:r>
          </w:p>
        </w:tc>
        <w:tc>
          <w:tcPr>
            <w:tcW w:w="1843" w:type="dxa"/>
          </w:tcPr>
          <w:p w:rsidR="004E65AB" w:rsidRPr="005C2AC0" w:rsidRDefault="00F22D42" w:rsidP="004E65AB">
            <w:pPr>
              <w:pStyle w:val="a3"/>
              <w:tabs>
                <w:tab w:val="left" w:pos="567"/>
              </w:tabs>
              <w:spacing w:after="0" w:line="240" w:lineRule="auto"/>
              <w:ind w:firstLine="0"/>
              <w:rPr>
                <w:rFonts w:ascii="Times New Roman" w:hAnsi="Times New Roman"/>
                <w:color w:val="000000" w:themeColor="text1"/>
                <w:szCs w:val="22"/>
              </w:rPr>
            </w:pPr>
            <w:proofErr w:type="spellStart"/>
            <w:r w:rsidRPr="00F22D42">
              <w:rPr>
                <w:rFonts w:ascii="Times New Roman" w:hAnsi="Times New Roman"/>
                <w:color w:val="000000" w:themeColor="text1"/>
                <w:szCs w:val="22"/>
              </w:rPr>
              <w:t>Annually</w:t>
            </w:r>
            <w:proofErr w:type="spellEnd"/>
          </w:p>
        </w:tc>
        <w:tc>
          <w:tcPr>
            <w:tcW w:w="2860" w:type="dxa"/>
          </w:tcPr>
          <w:p w:rsidR="004E65AB" w:rsidRPr="00F22D42" w:rsidRDefault="00F22D42" w:rsidP="004E65AB">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text1"/>
                <w:szCs w:val="22"/>
                <w:lang w:val="en-US"/>
              </w:rPr>
              <w:t>Report on the assignment of a sustainability (ESG) rating / ESG scoring report</w:t>
            </w:r>
          </w:p>
        </w:tc>
      </w:tr>
      <w:tr w:rsidR="005C2AC0" w:rsidRPr="00F22D42"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17</w:t>
            </w:r>
          </w:p>
        </w:tc>
        <w:tc>
          <w:tcPr>
            <w:tcW w:w="3248" w:type="dxa"/>
          </w:tcPr>
          <w:p w:rsidR="004E65AB" w:rsidRPr="00F22D42" w:rsidRDefault="00F22D42" w:rsidP="004E65AB">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text1"/>
                <w:szCs w:val="22"/>
                <w:lang w:val="en-US"/>
              </w:rPr>
              <w:t>Consideration of joining international sustainable development / ESG initiatives (the UN Principles for Responsible Investment, the United Nations Global Compact / UN Global Compact membership, etc.)</w:t>
            </w:r>
          </w:p>
        </w:tc>
        <w:tc>
          <w:tcPr>
            <w:tcW w:w="1985" w:type="dxa"/>
          </w:tcPr>
          <w:p w:rsidR="004E65AB" w:rsidRPr="00B23ABE" w:rsidRDefault="00F22D42" w:rsidP="00F22D42">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text1"/>
                <w:szCs w:val="22"/>
                <w:lang w:val="en-US"/>
              </w:rPr>
              <w:t xml:space="preserve">Department of Green and International Cooperation </w:t>
            </w:r>
          </w:p>
        </w:tc>
        <w:tc>
          <w:tcPr>
            <w:tcW w:w="1843" w:type="dxa"/>
          </w:tcPr>
          <w:p w:rsidR="004E65AB" w:rsidRPr="005C2AC0" w:rsidRDefault="00F22D42" w:rsidP="004E65AB">
            <w:pPr>
              <w:pStyle w:val="a3"/>
              <w:tabs>
                <w:tab w:val="left" w:pos="567"/>
              </w:tabs>
              <w:spacing w:after="0" w:line="240" w:lineRule="auto"/>
              <w:ind w:firstLine="0"/>
              <w:rPr>
                <w:rFonts w:ascii="Times New Roman" w:hAnsi="Times New Roman"/>
                <w:color w:val="000000" w:themeColor="text1"/>
                <w:szCs w:val="22"/>
              </w:rPr>
            </w:pPr>
            <w:proofErr w:type="spellStart"/>
            <w:r w:rsidRPr="00F22D42">
              <w:rPr>
                <w:rFonts w:ascii="Times New Roman" w:hAnsi="Times New Roman"/>
                <w:color w:val="000000" w:themeColor="text1"/>
                <w:szCs w:val="22"/>
              </w:rPr>
              <w:t>Annually</w:t>
            </w:r>
            <w:proofErr w:type="spellEnd"/>
            <w:r w:rsidRPr="00F22D42">
              <w:rPr>
                <w:rFonts w:ascii="Times New Roman" w:hAnsi="Times New Roman"/>
                <w:color w:val="000000" w:themeColor="text1"/>
                <w:szCs w:val="22"/>
              </w:rPr>
              <w:t xml:space="preserve"> (</w:t>
            </w:r>
            <w:proofErr w:type="spellStart"/>
            <w:r w:rsidRPr="00F22D42">
              <w:rPr>
                <w:rFonts w:ascii="Times New Roman" w:hAnsi="Times New Roman"/>
                <w:color w:val="000000" w:themeColor="text1"/>
                <w:szCs w:val="22"/>
              </w:rPr>
              <w:t>as</w:t>
            </w:r>
            <w:proofErr w:type="spellEnd"/>
            <w:r w:rsidRPr="00F22D42">
              <w:rPr>
                <w:rFonts w:ascii="Times New Roman" w:hAnsi="Times New Roman"/>
                <w:color w:val="000000" w:themeColor="text1"/>
                <w:szCs w:val="22"/>
              </w:rPr>
              <w:t xml:space="preserve"> </w:t>
            </w:r>
            <w:proofErr w:type="spellStart"/>
            <w:r w:rsidRPr="00F22D42">
              <w:rPr>
                <w:rFonts w:ascii="Times New Roman" w:hAnsi="Times New Roman"/>
                <w:color w:val="000000" w:themeColor="text1"/>
                <w:szCs w:val="22"/>
              </w:rPr>
              <w:t>needed</w:t>
            </w:r>
            <w:proofErr w:type="spellEnd"/>
            <w:r w:rsidRPr="00F22D42">
              <w:rPr>
                <w:rFonts w:ascii="Times New Roman" w:hAnsi="Times New Roman"/>
                <w:color w:val="000000" w:themeColor="text1"/>
                <w:szCs w:val="22"/>
              </w:rPr>
              <w:t>)</w:t>
            </w:r>
          </w:p>
        </w:tc>
        <w:tc>
          <w:tcPr>
            <w:tcW w:w="2860" w:type="dxa"/>
          </w:tcPr>
          <w:p w:rsidR="004E65AB" w:rsidRPr="00F22D42" w:rsidRDefault="00F22D42" w:rsidP="004E65AB">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text1"/>
                <w:szCs w:val="22"/>
                <w:lang w:val="en-US"/>
              </w:rPr>
              <w:t>Analytical memo addressed to the supervising Deputy Chair of the Management Board / Announcement of accession or membership published on the corporate website</w:t>
            </w:r>
          </w:p>
        </w:tc>
      </w:tr>
      <w:tr w:rsidR="005C2AC0" w:rsidRPr="00B64675"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18</w:t>
            </w:r>
          </w:p>
        </w:tc>
        <w:tc>
          <w:tcPr>
            <w:tcW w:w="3248" w:type="dxa"/>
          </w:tcPr>
          <w:p w:rsidR="004E65AB" w:rsidRPr="00F22D42" w:rsidRDefault="00F22D42" w:rsidP="004E65AB">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text1"/>
                <w:szCs w:val="22"/>
                <w:lang w:val="en-US"/>
              </w:rPr>
              <w:t>Consideration of joining the group of signatories to the Green Investment Principles for the Belt and Road (GIP)</w:t>
            </w:r>
          </w:p>
        </w:tc>
        <w:tc>
          <w:tcPr>
            <w:tcW w:w="1985" w:type="dxa"/>
          </w:tcPr>
          <w:p w:rsidR="004E65AB" w:rsidRPr="00B23ABE" w:rsidRDefault="00F22D42" w:rsidP="004E65AB">
            <w:pPr>
              <w:pStyle w:val="a3"/>
              <w:tabs>
                <w:tab w:val="left" w:pos="567"/>
              </w:tabs>
              <w:spacing w:after="0" w:line="240" w:lineRule="auto"/>
              <w:ind w:firstLine="0"/>
              <w:rPr>
                <w:rFonts w:ascii="Times New Roman" w:hAnsi="Times New Roman"/>
                <w:color w:val="000000" w:themeColor="text1"/>
                <w:szCs w:val="22"/>
                <w:lang w:val="en-US"/>
              </w:rPr>
            </w:pPr>
            <w:r w:rsidRPr="00F22D42">
              <w:rPr>
                <w:rFonts w:ascii="Times New Roman" w:hAnsi="Times New Roman"/>
                <w:color w:val="000000" w:themeColor="text1"/>
                <w:szCs w:val="22"/>
                <w:lang w:val="en-US"/>
              </w:rPr>
              <w:t xml:space="preserve">Department of Green and International Cooperation, Department of </w:t>
            </w:r>
            <w:r w:rsidRPr="00F22D42">
              <w:rPr>
                <w:rFonts w:ascii="Times New Roman" w:hAnsi="Times New Roman"/>
                <w:color w:val="000000" w:themeColor="text1"/>
                <w:szCs w:val="22"/>
                <w:lang w:val="en-US"/>
              </w:rPr>
              <w:lastRenderedPageBreak/>
              <w:t>Strategic Analysis and Corporate Development</w:t>
            </w:r>
          </w:p>
        </w:tc>
        <w:tc>
          <w:tcPr>
            <w:tcW w:w="1843" w:type="dxa"/>
          </w:tcPr>
          <w:p w:rsidR="004E65AB" w:rsidRPr="005C2AC0" w:rsidRDefault="00B64675" w:rsidP="004E65AB">
            <w:pPr>
              <w:pStyle w:val="a3"/>
              <w:tabs>
                <w:tab w:val="left" w:pos="567"/>
              </w:tabs>
              <w:spacing w:after="0" w:line="240" w:lineRule="auto"/>
              <w:ind w:firstLine="0"/>
              <w:rPr>
                <w:rFonts w:ascii="Times New Roman" w:hAnsi="Times New Roman"/>
                <w:color w:val="000000" w:themeColor="text1"/>
                <w:szCs w:val="22"/>
              </w:rPr>
            </w:pPr>
            <w:r w:rsidRPr="00B64675">
              <w:rPr>
                <w:rFonts w:ascii="Times New Roman" w:hAnsi="Times New Roman"/>
                <w:color w:val="000000" w:themeColor="text1"/>
                <w:szCs w:val="22"/>
                <w:lang w:val="en-US"/>
              </w:rPr>
              <w:lastRenderedPageBreak/>
              <w:t>By 31 March 2024</w:t>
            </w:r>
          </w:p>
        </w:tc>
        <w:tc>
          <w:tcPr>
            <w:tcW w:w="2860" w:type="dxa"/>
          </w:tcPr>
          <w:p w:rsidR="004E65AB" w:rsidRPr="00B64675"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Submission of an application as an institutional signatory and signing of the Green Investment Principles for the Belt and Road</w:t>
            </w:r>
          </w:p>
        </w:tc>
      </w:tr>
      <w:tr w:rsidR="005C2AC0" w:rsidRPr="00B64675"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lastRenderedPageBreak/>
              <w:t>19</w:t>
            </w:r>
          </w:p>
        </w:tc>
        <w:tc>
          <w:tcPr>
            <w:tcW w:w="3248" w:type="dxa"/>
          </w:tcPr>
          <w:p w:rsidR="004E65AB" w:rsidRPr="00B64675"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Participation in promoting ESG initiatives at the international level and engagement with relevant international institutions, including participation in external conferences / roundtables / seminars on sustainable development / ESG (including online formats)</w:t>
            </w:r>
          </w:p>
        </w:tc>
        <w:tc>
          <w:tcPr>
            <w:tcW w:w="1985" w:type="dxa"/>
          </w:tcPr>
          <w:p w:rsidR="004E65AB" w:rsidRPr="00B23ABE"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Department of Green and International Cooperation, Department of Strategic Analysis and Corporate Development, Structural Units (as agreed)</w:t>
            </w:r>
          </w:p>
        </w:tc>
        <w:tc>
          <w:tcPr>
            <w:tcW w:w="1843" w:type="dxa"/>
          </w:tcPr>
          <w:p w:rsidR="004E65AB" w:rsidRPr="005C2AC0" w:rsidRDefault="00B64675" w:rsidP="004E65AB">
            <w:pPr>
              <w:pStyle w:val="a3"/>
              <w:tabs>
                <w:tab w:val="left" w:pos="567"/>
              </w:tabs>
              <w:spacing w:after="0" w:line="240" w:lineRule="auto"/>
              <w:ind w:firstLine="0"/>
              <w:rPr>
                <w:rFonts w:ascii="Times New Roman" w:hAnsi="Times New Roman"/>
                <w:color w:val="000000" w:themeColor="text1"/>
                <w:szCs w:val="22"/>
              </w:rPr>
            </w:pPr>
            <w:proofErr w:type="spellStart"/>
            <w:r w:rsidRPr="00B64675">
              <w:rPr>
                <w:rFonts w:ascii="Times New Roman" w:hAnsi="Times New Roman"/>
                <w:color w:val="000000" w:themeColor="text1"/>
                <w:szCs w:val="22"/>
              </w:rPr>
              <w:t>Annually</w:t>
            </w:r>
            <w:proofErr w:type="spellEnd"/>
          </w:p>
        </w:tc>
        <w:tc>
          <w:tcPr>
            <w:tcW w:w="2860" w:type="dxa"/>
          </w:tcPr>
          <w:p w:rsidR="004E65AB" w:rsidRPr="00B64675"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Participation in external conferences / roundtables / seminars / Memoranda of Cooperation, etc.</w:t>
            </w:r>
          </w:p>
        </w:tc>
      </w:tr>
      <w:tr w:rsidR="005C2AC0" w:rsidRPr="00B64675"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20</w:t>
            </w:r>
          </w:p>
        </w:tc>
        <w:tc>
          <w:tcPr>
            <w:tcW w:w="3248" w:type="dxa"/>
          </w:tcPr>
          <w:p w:rsidR="004E65AB" w:rsidRPr="00B64675"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Issuance of thematic bonds on the Kazakhstan Stock Exchange / the Astana International Financial Centre / foreign stock exchanges: green and/or social and/or other sustainability-linked bonds</w:t>
            </w:r>
          </w:p>
        </w:tc>
        <w:tc>
          <w:tcPr>
            <w:tcW w:w="1985" w:type="dxa"/>
          </w:tcPr>
          <w:p w:rsidR="004E65AB" w:rsidRPr="00B23ABE"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Department of Green and International Cooperation</w:t>
            </w:r>
          </w:p>
        </w:tc>
        <w:tc>
          <w:tcPr>
            <w:tcW w:w="1843" w:type="dxa"/>
          </w:tcPr>
          <w:p w:rsidR="004E65AB" w:rsidRPr="005C2AC0" w:rsidRDefault="00B64675" w:rsidP="004E65AB">
            <w:pPr>
              <w:pStyle w:val="a3"/>
              <w:tabs>
                <w:tab w:val="left" w:pos="567"/>
              </w:tabs>
              <w:spacing w:after="0" w:line="240" w:lineRule="auto"/>
              <w:ind w:firstLine="0"/>
              <w:rPr>
                <w:rFonts w:ascii="Times New Roman" w:hAnsi="Times New Roman"/>
                <w:color w:val="000000" w:themeColor="text1"/>
                <w:szCs w:val="22"/>
              </w:rPr>
            </w:pPr>
            <w:proofErr w:type="spellStart"/>
            <w:r w:rsidRPr="00B64675">
              <w:rPr>
                <w:rFonts w:ascii="Times New Roman" w:hAnsi="Times New Roman"/>
                <w:color w:val="000000" w:themeColor="text1"/>
                <w:szCs w:val="22"/>
              </w:rPr>
              <w:t>Annually</w:t>
            </w:r>
            <w:proofErr w:type="spellEnd"/>
            <w:r w:rsidRPr="00B64675">
              <w:rPr>
                <w:rFonts w:ascii="Times New Roman" w:hAnsi="Times New Roman"/>
                <w:color w:val="000000" w:themeColor="text1"/>
                <w:szCs w:val="22"/>
              </w:rPr>
              <w:t xml:space="preserve"> (</w:t>
            </w:r>
            <w:proofErr w:type="spellStart"/>
            <w:r w:rsidRPr="00B64675">
              <w:rPr>
                <w:rFonts w:ascii="Times New Roman" w:hAnsi="Times New Roman"/>
                <w:color w:val="000000" w:themeColor="text1"/>
                <w:szCs w:val="22"/>
              </w:rPr>
              <w:t>as</w:t>
            </w:r>
            <w:proofErr w:type="spellEnd"/>
            <w:r w:rsidRPr="00B64675">
              <w:rPr>
                <w:rFonts w:ascii="Times New Roman" w:hAnsi="Times New Roman"/>
                <w:color w:val="000000" w:themeColor="text1"/>
                <w:szCs w:val="22"/>
              </w:rPr>
              <w:t xml:space="preserve"> </w:t>
            </w:r>
            <w:proofErr w:type="spellStart"/>
            <w:r w:rsidRPr="00B64675">
              <w:rPr>
                <w:rFonts w:ascii="Times New Roman" w:hAnsi="Times New Roman"/>
                <w:color w:val="000000" w:themeColor="text1"/>
                <w:szCs w:val="22"/>
              </w:rPr>
              <w:t>needed</w:t>
            </w:r>
            <w:proofErr w:type="spellEnd"/>
            <w:r w:rsidRPr="00B64675">
              <w:rPr>
                <w:rFonts w:ascii="Times New Roman" w:hAnsi="Times New Roman"/>
                <w:color w:val="000000" w:themeColor="text1"/>
                <w:szCs w:val="22"/>
              </w:rPr>
              <w:t>) |</w:t>
            </w:r>
          </w:p>
        </w:tc>
        <w:tc>
          <w:tcPr>
            <w:tcW w:w="2860" w:type="dxa"/>
          </w:tcPr>
          <w:p w:rsidR="004E65AB" w:rsidRPr="00B64675"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Bond placement (Resolution of the Fund’s Board of Directors)</w:t>
            </w:r>
          </w:p>
        </w:tc>
      </w:tr>
      <w:tr w:rsidR="005C2AC0" w:rsidRPr="00B64675"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21</w:t>
            </w:r>
          </w:p>
        </w:tc>
        <w:tc>
          <w:tcPr>
            <w:tcW w:w="3248" w:type="dxa"/>
          </w:tcPr>
          <w:p w:rsidR="004E65AB" w:rsidRPr="00B64675" w:rsidRDefault="00B64675" w:rsidP="006E5F53">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Consideration of the development of sustainability reporting for the Fund</w:t>
            </w:r>
          </w:p>
        </w:tc>
        <w:tc>
          <w:tcPr>
            <w:tcW w:w="1985" w:type="dxa"/>
          </w:tcPr>
          <w:p w:rsidR="004E65AB" w:rsidRPr="00B64675" w:rsidRDefault="00B64675" w:rsidP="006E5F53">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Department of Strategic Analysis and Corporate Development</w:t>
            </w:r>
          </w:p>
        </w:tc>
        <w:tc>
          <w:tcPr>
            <w:tcW w:w="1843" w:type="dxa"/>
          </w:tcPr>
          <w:p w:rsidR="006E5F53" w:rsidRDefault="006E5F53" w:rsidP="006E5F53">
            <w:pPr>
              <w:pStyle w:val="a3"/>
              <w:tabs>
                <w:tab w:val="left" w:pos="567"/>
              </w:tabs>
              <w:spacing w:after="0"/>
              <w:ind w:firstLine="0"/>
              <w:rPr>
                <w:rFonts w:ascii="Times New Roman" w:hAnsi="Times New Roman"/>
                <w:szCs w:val="22"/>
              </w:rPr>
            </w:pPr>
            <w:r>
              <w:rPr>
                <w:rFonts w:ascii="Times New Roman" w:hAnsi="Times New Roman"/>
                <w:szCs w:val="22"/>
              </w:rPr>
              <w:t>2024 год/</w:t>
            </w:r>
          </w:p>
          <w:p w:rsidR="004E65AB" w:rsidRPr="005C2AC0" w:rsidRDefault="006E5F53" w:rsidP="006E5F53">
            <w:pPr>
              <w:pStyle w:val="a3"/>
              <w:tabs>
                <w:tab w:val="left" w:pos="567"/>
              </w:tabs>
              <w:spacing w:after="0" w:line="240" w:lineRule="auto"/>
              <w:ind w:firstLine="0"/>
              <w:rPr>
                <w:rFonts w:ascii="Times New Roman" w:hAnsi="Times New Roman"/>
                <w:color w:val="000000" w:themeColor="text1"/>
                <w:szCs w:val="22"/>
              </w:rPr>
            </w:pPr>
            <w:r w:rsidRPr="00EC498B">
              <w:rPr>
                <w:rFonts w:ascii="Times New Roman" w:hAnsi="Times New Roman"/>
                <w:szCs w:val="22"/>
              </w:rPr>
              <w:t>202</w:t>
            </w:r>
            <w:r>
              <w:rPr>
                <w:rFonts w:ascii="Times New Roman" w:hAnsi="Times New Roman"/>
                <w:szCs w:val="22"/>
              </w:rPr>
              <w:t>5 год</w:t>
            </w:r>
          </w:p>
        </w:tc>
        <w:tc>
          <w:tcPr>
            <w:tcW w:w="2860" w:type="dxa"/>
          </w:tcPr>
          <w:p w:rsidR="004E65AB" w:rsidRPr="00B64675"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szCs w:val="22"/>
                <w:lang w:val="en-US"/>
              </w:rPr>
              <w:t>Document approved by a resolution of the Fund’s Management Board</w:t>
            </w:r>
          </w:p>
        </w:tc>
      </w:tr>
      <w:tr w:rsidR="005C2AC0" w:rsidRPr="00B64675"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22</w:t>
            </w:r>
          </w:p>
        </w:tc>
        <w:tc>
          <w:tcPr>
            <w:tcW w:w="3248" w:type="dxa"/>
          </w:tcPr>
          <w:p w:rsidR="00C2468A" w:rsidRPr="00B64675" w:rsidRDefault="00B64675" w:rsidP="006E5F53">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szCs w:val="22"/>
                <w:lang w:val="en-US"/>
              </w:rPr>
              <w:t>Taking into account procurement requirements, consideration of the procurement of office IT equipment certified in accordance with international standards and/or the procurement of electricity generated from renewable energy sources and/or the installation of such equipment and/or other relevant measures, as well as disclosure of this information in non-financial reporting and/or on the Fund’s corporate website in three languages (Kazakh, Russian, and English)</w:t>
            </w:r>
          </w:p>
        </w:tc>
        <w:tc>
          <w:tcPr>
            <w:tcW w:w="1985" w:type="dxa"/>
          </w:tcPr>
          <w:p w:rsidR="004E65AB" w:rsidRPr="00B64675" w:rsidRDefault="00B64675" w:rsidP="006E5F53">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Administrative Department, IT Department, Procurement Department</w:t>
            </w:r>
          </w:p>
        </w:tc>
        <w:tc>
          <w:tcPr>
            <w:tcW w:w="1843" w:type="dxa"/>
          </w:tcPr>
          <w:p w:rsidR="004E65AB" w:rsidRPr="00B64675"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Annually starting from 2024 (as needed)</w:t>
            </w:r>
          </w:p>
        </w:tc>
        <w:tc>
          <w:tcPr>
            <w:tcW w:w="2860" w:type="dxa"/>
          </w:tcPr>
          <w:p w:rsidR="004E65AB" w:rsidRPr="00B64675" w:rsidRDefault="00B64675" w:rsidP="004E65AB">
            <w:pPr>
              <w:pStyle w:val="a3"/>
              <w:tabs>
                <w:tab w:val="left" w:pos="567"/>
              </w:tabs>
              <w:spacing w:after="0" w:line="240" w:lineRule="auto"/>
              <w:ind w:firstLine="0"/>
              <w:rPr>
                <w:rFonts w:ascii="Times New Roman" w:hAnsi="Times New Roman"/>
                <w:color w:val="000000" w:themeColor="text1"/>
                <w:szCs w:val="22"/>
                <w:lang w:val="en-US"/>
              </w:rPr>
            </w:pPr>
            <w:r w:rsidRPr="00B64675">
              <w:rPr>
                <w:rFonts w:ascii="Times New Roman" w:hAnsi="Times New Roman"/>
                <w:color w:val="000000" w:themeColor="text1"/>
                <w:szCs w:val="22"/>
                <w:lang w:val="en-US"/>
              </w:rPr>
              <w:t>Publication of information on the work carried out in this area in non-financial reporting and/or on the Fund’s corporate website</w:t>
            </w:r>
          </w:p>
        </w:tc>
      </w:tr>
      <w:tr w:rsidR="005C2AC0" w:rsidRPr="008E598A" w:rsidTr="00F24F8C">
        <w:tc>
          <w:tcPr>
            <w:tcW w:w="438" w:type="dxa"/>
          </w:tcPr>
          <w:p w:rsidR="004E65AB" w:rsidRPr="00371D1B" w:rsidRDefault="004E65AB" w:rsidP="004E65AB">
            <w:pPr>
              <w:pStyle w:val="a3"/>
              <w:tabs>
                <w:tab w:val="left" w:pos="567"/>
              </w:tabs>
              <w:spacing w:after="0" w:line="240" w:lineRule="auto"/>
              <w:ind w:firstLine="0"/>
              <w:rPr>
                <w:rFonts w:ascii="Times New Roman" w:hAnsi="Times New Roman"/>
                <w:color w:val="000000" w:themeColor="text1"/>
                <w:szCs w:val="22"/>
              </w:rPr>
            </w:pPr>
            <w:r w:rsidRPr="00371D1B">
              <w:rPr>
                <w:rFonts w:ascii="Times New Roman" w:hAnsi="Times New Roman"/>
                <w:color w:val="000000" w:themeColor="text1"/>
                <w:szCs w:val="22"/>
              </w:rPr>
              <w:t>23</w:t>
            </w:r>
          </w:p>
        </w:tc>
        <w:tc>
          <w:tcPr>
            <w:tcW w:w="3248" w:type="dxa"/>
          </w:tcPr>
          <w:p w:rsidR="004E65AB" w:rsidRPr="008E598A" w:rsidRDefault="008E598A" w:rsidP="006B20B3">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Consideration of the application of environmental and social guidelines and recommendations applicable to the Fund’s Partners and/or MSMEs, and/or the establishment of reciprocal obligations for the Fund’s Partners to disclose information on carbon emissions (Scope 1 and Scope 2), with publication of such information on the Fund’s corporate website in three languages (Kazakh, Russian, and English</w:t>
            </w:r>
          </w:p>
        </w:tc>
        <w:tc>
          <w:tcPr>
            <w:tcW w:w="1985"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Guarantee Department, Subsidy Department, Project Financing Department, Department of Strategic Analysis and Corporate Development, Structural Units (as agreed), Marketing Department</w:t>
            </w:r>
          </w:p>
        </w:tc>
        <w:tc>
          <w:tcPr>
            <w:tcW w:w="1843"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Annually starting from 2024 (as needed)</w:t>
            </w:r>
          </w:p>
        </w:tc>
        <w:tc>
          <w:tcPr>
            <w:tcW w:w="2860"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Amendments to the relevant agreements with the Fund’s Partners; publication on the corporate website and/or in non-financial reporting</w:t>
            </w:r>
          </w:p>
        </w:tc>
      </w:tr>
      <w:tr w:rsidR="005C2AC0" w:rsidRPr="008E598A"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24</w:t>
            </w:r>
          </w:p>
        </w:tc>
        <w:tc>
          <w:tcPr>
            <w:tcW w:w="3248"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 xml:space="preserve">Regular analysis of changes in the level of employees’ official salaries at the Fund based on market salary surveys, taking into </w:t>
            </w:r>
            <w:r w:rsidRPr="008E598A">
              <w:rPr>
                <w:rFonts w:ascii="Times New Roman" w:hAnsi="Times New Roman"/>
                <w:color w:val="000000" w:themeColor="text1"/>
                <w:szCs w:val="22"/>
                <w:lang w:val="en-US"/>
              </w:rPr>
              <w:lastRenderedPageBreak/>
              <w:t>account the economic situation, inflation rate, and other factors</w:t>
            </w:r>
          </w:p>
        </w:tc>
        <w:tc>
          <w:tcPr>
            <w:tcW w:w="1985"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lastRenderedPageBreak/>
              <w:t xml:space="preserve">Department of Personnel Development, Budget Planning </w:t>
            </w:r>
            <w:r w:rsidRPr="008E598A">
              <w:rPr>
                <w:rFonts w:ascii="Times New Roman" w:hAnsi="Times New Roman"/>
                <w:color w:val="000000" w:themeColor="text1"/>
                <w:szCs w:val="22"/>
                <w:lang w:val="en-US"/>
              </w:rPr>
              <w:lastRenderedPageBreak/>
              <w:t>Department</w:t>
            </w:r>
          </w:p>
        </w:tc>
        <w:tc>
          <w:tcPr>
            <w:tcW w:w="1843"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lastRenderedPageBreak/>
              <w:t>On an ongoing basis starting from 2024</w:t>
            </w:r>
          </w:p>
        </w:tc>
        <w:tc>
          <w:tcPr>
            <w:tcW w:w="2860"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Information provided to the Budget Planning Department during budget formation and/or adjustment</w:t>
            </w:r>
          </w:p>
        </w:tc>
      </w:tr>
      <w:tr w:rsidR="005C2AC0" w:rsidRPr="008E598A" w:rsidTr="00F24F8C">
        <w:tc>
          <w:tcPr>
            <w:tcW w:w="438" w:type="dxa"/>
          </w:tcPr>
          <w:p w:rsidR="004E65AB" w:rsidRPr="005C2AC0" w:rsidRDefault="004E65AB" w:rsidP="004E65AB">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lastRenderedPageBreak/>
              <w:t>25</w:t>
            </w:r>
          </w:p>
        </w:tc>
        <w:tc>
          <w:tcPr>
            <w:tcW w:w="3248"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Consideration of establishing a Sustainable Development / ESG Committe</w:t>
            </w:r>
            <w:r>
              <w:rPr>
                <w:rFonts w:ascii="Times New Roman" w:hAnsi="Times New Roman"/>
                <w:color w:val="000000" w:themeColor="text1"/>
                <w:szCs w:val="22"/>
                <w:lang w:val="en-US"/>
              </w:rPr>
              <w:t>e</w:t>
            </w:r>
          </w:p>
        </w:tc>
        <w:tc>
          <w:tcPr>
            <w:tcW w:w="1985"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Department of Strategic Analysis and Corporate Development, Department of Green and International Cooperation, Structural Units</w:t>
            </w:r>
          </w:p>
        </w:tc>
        <w:tc>
          <w:tcPr>
            <w:tcW w:w="1843" w:type="dxa"/>
          </w:tcPr>
          <w:p w:rsidR="004E65AB" w:rsidRPr="005C2AC0" w:rsidRDefault="008E598A" w:rsidP="004E65AB">
            <w:pPr>
              <w:pStyle w:val="a3"/>
              <w:tabs>
                <w:tab w:val="left" w:pos="567"/>
              </w:tabs>
              <w:spacing w:after="0" w:line="240" w:lineRule="auto"/>
              <w:ind w:firstLine="0"/>
              <w:rPr>
                <w:rFonts w:ascii="Times New Roman" w:hAnsi="Times New Roman"/>
                <w:color w:val="000000" w:themeColor="text1"/>
                <w:szCs w:val="22"/>
              </w:rPr>
            </w:pPr>
            <w:proofErr w:type="spellStart"/>
            <w:r w:rsidRPr="008E598A">
              <w:rPr>
                <w:rFonts w:ascii="Times New Roman" w:hAnsi="Times New Roman"/>
                <w:color w:val="000000" w:themeColor="text1"/>
                <w:szCs w:val="22"/>
              </w:rPr>
              <w:t>By</w:t>
            </w:r>
            <w:proofErr w:type="spellEnd"/>
            <w:r w:rsidRPr="008E598A">
              <w:rPr>
                <w:rFonts w:ascii="Times New Roman" w:hAnsi="Times New Roman"/>
                <w:color w:val="000000" w:themeColor="text1"/>
                <w:szCs w:val="22"/>
              </w:rPr>
              <w:t xml:space="preserve"> 31 </w:t>
            </w:r>
            <w:proofErr w:type="spellStart"/>
            <w:r w:rsidRPr="008E598A">
              <w:rPr>
                <w:rFonts w:ascii="Times New Roman" w:hAnsi="Times New Roman"/>
                <w:color w:val="000000" w:themeColor="text1"/>
                <w:szCs w:val="22"/>
              </w:rPr>
              <w:t>December</w:t>
            </w:r>
            <w:proofErr w:type="spellEnd"/>
            <w:r w:rsidRPr="008E598A">
              <w:rPr>
                <w:rFonts w:ascii="Times New Roman" w:hAnsi="Times New Roman"/>
                <w:color w:val="000000" w:themeColor="text1"/>
                <w:szCs w:val="22"/>
              </w:rPr>
              <w:t xml:space="preserve"> 2025 (</w:t>
            </w:r>
            <w:proofErr w:type="spellStart"/>
            <w:r w:rsidRPr="008E598A">
              <w:rPr>
                <w:rFonts w:ascii="Times New Roman" w:hAnsi="Times New Roman"/>
                <w:color w:val="000000" w:themeColor="text1"/>
                <w:szCs w:val="22"/>
              </w:rPr>
              <w:t>if</w:t>
            </w:r>
            <w:proofErr w:type="spellEnd"/>
            <w:r w:rsidRPr="008E598A">
              <w:rPr>
                <w:rFonts w:ascii="Times New Roman" w:hAnsi="Times New Roman"/>
                <w:color w:val="000000" w:themeColor="text1"/>
                <w:szCs w:val="22"/>
              </w:rPr>
              <w:t xml:space="preserve"> </w:t>
            </w:r>
            <w:proofErr w:type="spellStart"/>
            <w:r w:rsidRPr="008E598A">
              <w:rPr>
                <w:rFonts w:ascii="Times New Roman" w:hAnsi="Times New Roman"/>
                <w:color w:val="000000" w:themeColor="text1"/>
                <w:szCs w:val="22"/>
              </w:rPr>
              <w:t>necessary</w:t>
            </w:r>
            <w:proofErr w:type="spellEnd"/>
            <w:r w:rsidRPr="008E598A">
              <w:rPr>
                <w:rFonts w:ascii="Times New Roman" w:hAnsi="Times New Roman"/>
                <w:color w:val="000000" w:themeColor="text1"/>
                <w:szCs w:val="22"/>
              </w:rPr>
              <w:t>)</w:t>
            </w:r>
          </w:p>
        </w:tc>
        <w:tc>
          <w:tcPr>
            <w:tcW w:w="2860"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Internal memo addressed to the supervising Deputy Chair of the Management Board</w:t>
            </w:r>
          </w:p>
        </w:tc>
      </w:tr>
      <w:tr w:rsidR="005C2AC0" w:rsidRPr="008E598A" w:rsidTr="00F24F8C">
        <w:tc>
          <w:tcPr>
            <w:tcW w:w="438" w:type="dxa"/>
          </w:tcPr>
          <w:p w:rsidR="004E65AB" w:rsidRPr="005C2AC0" w:rsidRDefault="004E65AB" w:rsidP="00C36919">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2</w:t>
            </w:r>
            <w:r w:rsidR="00C36919" w:rsidRPr="005C2AC0">
              <w:rPr>
                <w:rFonts w:ascii="Times New Roman" w:hAnsi="Times New Roman"/>
                <w:color w:val="000000" w:themeColor="text1"/>
                <w:szCs w:val="22"/>
              </w:rPr>
              <w:t>6</w:t>
            </w:r>
          </w:p>
        </w:tc>
        <w:tc>
          <w:tcPr>
            <w:tcW w:w="3248"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Disclosure on the Fund’s corporate website, in three languages (Kazakh, Russian, and English), and in the Fund’s non-financial reporting, of information on interaction with personnel, including competitive working conditions, safe and secure working conditions for all employees, gender equality, etc., as well as information on the Fund’s provision of sponsorship and charitable assistance</w:t>
            </w:r>
          </w:p>
        </w:tc>
        <w:tc>
          <w:tcPr>
            <w:tcW w:w="1985"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 xml:space="preserve">Department of Personnel Development, Marketing </w:t>
            </w:r>
            <w:proofErr w:type="spellStart"/>
            <w:r w:rsidRPr="008E598A">
              <w:rPr>
                <w:rFonts w:ascii="Times New Roman" w:hAnsi="Times New Roman"/>
                <w:color w:val="000000" w:themeColor="text1"/>
                <w:szCs w:val="22"/>
                <w:lang w:val="en-US"/>
              </w:rPr>
              <w:t>Departmen</w:t>
            </w:r>
            <w:proofErr w:type="spellEnd"/>
          </w:p>
        </w:tc>
        <w:tc>
          <w:tcPr>
            <w:tcW w:w="1843"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On an ongoing basis starting from 2024</w:t>
            </w:r>
          </w:p>
        </w:tc>
        <w:tc>
          <w:tcPr>
            <w:tcW w:w="2860"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Publication on the corporate website and/or in non-financial reporting</w:t>
            </w:r>
          </w:p>
        </w:tc>
      </w:tr>
      <w:tr w:rsidR="005C2AC0" w:rsidRPr="008E598A" w:rsidTr="00F24F8C">
        <w:tc>
          <w:tcPr>
            <w:tcW w:w="438" w:type="dxa"/>
          </w:tcPr>
          <w:p w:rsidR="004E65AB" w:rsidRPr="005C2AC0" w:rsidRDefault="004E65AB" w:rsidP="00C36919">
            <w:pPr>
              <w:pStyle w:val="a3"/>
              <w:tabs>
                <w:tab w:val="left" w:pos="567"/>
              </w:tabs>
              <w:spacing w:after="0" w:line="240" w:lineRule="auto"/>
              <w:ind w:firstLine="0"/>
              <w:rPr>
                <w:rFonts w:ascii="Times New Roman" w:hAnsi="Times New Roman"/>
                <w:color w:val="000000" w:themeColor="text1"/>
                <w:szCs w:val="22"/>
              </w:rPr>
            </w:pPr>
            <w:r w:rsidRPr="005C2AC0">
              <w:rPr>
                <w:rFonts w:ascii="Times New Roman" w:hAnsi="Times New Roman"/>
                <w:color w:val="000000" w:themeColor="text1"/>
                <w:szCs w:val="22"/>
              </w:rPr>
              <w:t>2</w:t>
            </w:r>
            <w:r w:rsidR="00C36919" w:rsidRPr="005C2AC0">
              <w:rPr>
                <w:rFonts w:ascii="Times New Roman" w:hAnsi="Times New Roman"/>
                <w:color w:val="000000" w:themeColor="text1"/>
                <w:szCs w:val="22"/>
              </w:rPr>
              <w:t>7</w:t>
            </w:r>
          </w:p>
        </w:tc>
        <w:tc>
          <w:tcPr>
            <w:tcW w:w="3248"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Consideration (where feasible) of undergoing international certification (ISO 45001 or an equivalent standard for occupational health and safety management systems) and disclosure of relevant information in the Fund’s non-financial reporting and on the Fund’s corporate website</w:t>
            </w:r>
          </w:p>
        </w:tc>
        <w:tc>
          <w:tcPr>
            <w:tcW w:w="1985"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Department of Personnel Development, Structural Units (as agreed)</w:t>
            </w:r>
          </w:p>
        </w:tc>
        <w:tc>
          <w:tcPr>
            <w:tcW w:w="1843" w:type="dxa"/>
          </w:tcPr>
          <w:p w:rsidR="004E65AB" w:rsidRPr="005C2AC0" w:rsidRDefault="008E598A" w:rsidP="004E65AB">
            <w:pPr>
              <w:pStyle w:val="a3"/>
              <w:tabs>
                <w:tab w:val="left" w:pos="567"/>
              </w:tabs>
              <w:spacing w:after="0" w:line="240" w:lineRule="auto"/>
              <w:ind w:firstLine="0"/>
              <w:rPr>
                <w:rFonts w:ascii="Times New Roman" w:hAnsi="Times New Roman"/>
                <w:color w:val="000000" w:themeColor="text1"/>
                <w:szCs w:val="22"/>
              </w:rPr>
            </w:pPr>
            <w:proofErr w:type="spellStart"/>
            <w:r w:rsidRPr="008E598A">
              <w:rPr>
                <w:rFonts w:ascii="Times New Roman" w:hAnsi="Times New Roman"/>
                <w:color w:val="000000" w:themeColor="text1"/>
                <w:szCs w:val="22"/>
              </w:rPr>
              <w:t>By</w:t>
            </w:r>
            <w:proofErr w:type="spellEnd"/>
            <w:r w:rsidRPr="008E598A">
              <w:rPr>
                <w:rFonts w:ascii="Times New Roman" w:hAnsi="Times New Roman"/>
                <w:color w:val="000000" w:themeColor="text1"/>
                <w:szCs w:val="22"/>
              </w:rPr>
              <w:t xml:space="preserve"> 2026 (</w:t>
            </w:r>
            <w:proofErr w:type="spellStart"/>
            <w:r w:rsidRPr="008E598A">
              <w:rPr>
                <w:rFonts w:ascii="Times New Roman" w:hAnsi="Times New Roman"/>
                <w:color w:val="000000" w:themeColor="text1"/>
                <w:szCs w:val="22"/>
              </w:rPr>
              <w:t>if</w:t>
            </w:r>
            <w:proofErr w:type="spellEnd"/>
            <w:r w:rsidRPr="008E598A">
              <w:rPr>
                <w:rFonts w:ascii="Times New Roman" w:hAnsi="Times New Roman"/>
                <w:color w:val="000000" w:themeColor="text1"/>
                <w:szCs w:val="22"/>
              </w:rPr>
              <w:t xml:space="preserve"> </w:t>
            </w:r>
            <w:proofErr w:type="spellStart"/>
            <w:r w:rsidRPr="008E598A">
              <w:rPr>
                <w:rFonts w:ascii="Times New Roman" w:hAnsi="Times New Roman"/>
                <w:color w:val="000000" w:themeColor="text1"/>
                <w:szCs w:val="22"/>
              </w:rPr>
              <w:t>necessary</w:t>
            </w:r>
            <w:proofErr w:type="spellEnd"/>
            <w:r w:rsidRPr="008E598A">
              <w:rPr>
                <w:rFonts w:ascii="Times New Roman" w:hAnsi="Times New Roman"/>
                <w:color w:val="000000" w:themeColor="text1"/>
                <w:szCs w:val="22"/>
              </w:rPr>
              <w:t>)</w:t>
            </w:r>
          </w:p>
        </w:tc>
        <w:tc>
          <w:tcPr>
            <w:tcW w:w="2860" w:type="dxa"/>
          </w:tcPr>
          <w:p w:rsidR="004E65AB" w:rsidRPr="008E598A" w:rsidRDefault="008E598A" w:rsidP="004E65AB">
            <w:pPr>
              <w:pStyle w:val="a3"/>
              <w:tabs>
                <w:tab w:val="left" w:pos="567"/>
              </w:tabs>
              <w:spacing w:after="0" w:line="240" w:lineRule="auto"/>
              <w:ind w:firstLine="0"/>
              <w:rPr>
                <w:rFonts w:ascii="Times New Roman" w:hAnsi="Times New Roman"/>
                <w:color w:val="000000" w:themeColor="text1"/>
                <w:szCs w:val="22"/>
                <w:lang w:val="en-US"/>
              </w:rPr>
            </w:pPr>
            <w:r w:rsidRPr="008E598A">
              <w:rPr>
                <w:rFonts w:ascii="Times New Roman" w:hAnsi="Times New Roman"/>
                <w:color w:val="000000" w:themeColor="text1"/>
                <w:szCs w:val="22"/>
                <w:lang w:val="en-US"/>
              </w:rPr>
              <w:t>Publication on the corporate website and/or in non-financial reporting</w:t>
            </w:r>
          </w:p>
        </w:tc>
      </w:tr>
      <w:tr w:rsidR="006E5F53" w:rsidRPr="00C01BF8" w:rsidTr="00F24F8C">
        <w:tc>
          <w:tcPr>
            <w:tcW w:w="438" w:type="dxa"/>
          </w:tcPr>
          <w:p w:rsidR="006E5F53" w:rsidRPr="005C2AC0" w:rsidRDefault="006E5F53" w:rsidP="006E5F53">
            <w:pPr>
              <w:pStyle w:val="a3"/>
              <w:tabs>
                <w:tab w:val="left" w:pos="567"/>
              </w:tabs>
              <w:spacing w:after="0" w:line="240" w:lineRule="auto"/>
              <w:ind w:firstLine="0"/>
              <w:rPr>
                <w:rFonts w:ascii="Times New Roman" w:hAnsi="Times New Roman"/>
                <w:color w:val="000000" w:themeColor="text1"/>
                <w:szCs w:val="22"/>
              </w:rPr>
            </w:pPr>
            <w:r w:rsidRPr="005A273F">
              <w:rPr>
                <w:rFonts w:ascii="Times New Roman" w:hAnsi="Times New Roman"/>
                <w:b/>
                <w:bCs/>
                <w:szCs w:val="22"/>
              </w:rPr>
              <w:t>28</w:t>
            </w:r>
          </w:p>
        </w:tc>
        <w:tc>
          <w:tcPr>
            <w:tcW w:w="3248" w:type="dxa"/>
          </w:tcPr>
          <w:p w:rsidR="006E5F53" w:rsidRPr="00C01BF8" w:rsidRDefault="00C01BF8" w:rsidP="006E5F53">
            <w:pPr>
              <w:pStyle w:val="a3"/>
              <w:tabs>
                <w:tab w:val="left" w:pos="567"/>
              </w:tabs>
              <w:spacing w:after="0" w:line="240" w:lineRule="auto"/>
              <w:ind w:firstLine="0"/>
              <w:rPr>
                <w:rFonts w:ascii="Times New Roman" w:hAnsi="Times New Roman"/>
                <w:color w:val="000000" w:themeColor="text1"/>
                <w:szCs w:val="22"/>
                <w:lang w:val="en-US"/>
              </w:rPr>
            </w:pPr>
            <w:r w:rsidRPr="00C01BF8">
              <w:rPr>
                <w:rFonts w:ascii="Times New Roman" w:hAnsi="Times New Roman"/>
                <w:szCs w:val="22"/>
                <w:lang w:val="en-US"/>
              </w:rPr>
              <w:t>Disclosure of information on the impact of climate change on the Fund’s activities, taking into account the principles and recommendations of the Task Force on Climate-related Financial Disclosures (TCFD), in the Fund’s annual report and/or sustainability report</w:t>
            </w:r>
          </w:p>
        </w:tc>
        <w:tc>
          <w:tcPr>
            <w:tcW w:w="1985" w:type="dxa"/>
          </w:tcPr>
          <w:p w:rsidR="006E5F53" w:rsidRPr="00C01BF8" w:rsidRDefault="00C01BF8" w:rsidP="006E5F53">
            <w:pPr>
              <w:pStyle w:val="a3"/>
              <w:tabs>
                <w:tab w:val="left" w:pos="567"/>
              </w:tabs>
              <w:spacing w:after="0" w:line="240" w:lineRule="auto"/>
              <w:ind w:firstLine="0"/>
              <w:rPr>
                <w:rFonts w:ascii="Times New Roman" w:hAnsi="Times New Roman"/>
                <w:color w:val="000000" w:themeColor="text1"/>
                <w:szCs w:val="22"/>
                <w:lang w:val="en-US"/>
              </w:rPr>
            </w:pPr>
            <w:r w:rsidRPr="00C01BF8">
              <w:rPr>
                <w:rFonts w:ascii="Times New Roman" w:hAnsi="Times New Roman"/>
                <w:szCs w:val="22"/>
                <w:lang w:val="en-US"/>
              </w:rPr>
              <w:t>Department of Strategic Analysis and Corporate Development</w:t>
            </w:r>
          </w:p>
        </w:tc>
        <w:tc>
          <w:tcPr>
            <w:tcW w:w="1843" w:type="dxa"/>
          </w:tcPr>
          <w:p w:rsidR="006E5F53" w:rsidRPr="005C2AC0" w:rsidRDefault="00C01BF8" w:rsidP="006E5F53">
            <w:pPr>
              <w:pStyle w:val="a3"/>
              <w:tabs>
                <w:tab w:val="left" w:pos="567"/>
              </w:tabs>
              <w:spacing w:after="0" w:line="240" w:lineRule="auto"/>
              <w:ind w:firstLine="0"/>
              <w:rPr>
                <w:rFonts w:ascii="Times New Roman" w:hAnsi="Times New Roman"/>
                <w:color w:val="000000" w:themeColor="text1"/>
                <w:szCs w:val="22"/>
              </w:rPr>
            </w:pPr>
            <w:proofErr w:type="spellStart"/>
            <w:r w:rsidRPr="00C01BF8">
              <w:rPr>
                <w:rFonts w:ascii="Times New Roman" w:hAnsi="Times New Roman"/>
                <w:szCs w:val="22"/>
              </w:rPr>
              <w:t>Annually</w:t>
            </w:r>
            <w:proofErr w:type="spellEnd"/>
          </w:p>
        </w:tc>
        <w:tc>
          <w:tcPr>
            <w:tcW w:w="2860" w:type="dxa"/>
          </w:tcPr>
          <w:p w:rsidR="006E5F53" w:rsidRPr="00C01BF8" w:rsidRDefault="00C01BF8" w:rsidP="006E5F53">
            <w:pPr>
              <w:pStyle w:val="a3"/>
              <w:tabs>
                <w:tab w:val="left" w:pos="567"/>
              </w:tabs>
              <w:spacing w:after="0" w:line="240" w:lineRule="auto"/>
              <w:ind w:firstLine="0"/>
              <w:rPr>
                <w:rFonts w:ascii="Times New Roman" w:hAnsi="Times New Roman"/>
                <w:color w:val="000000" w:themeColor="text1"/>
                <w:szCs w:val="22"/>
                <w:lang w:val="en-US"/>
              </w:rPr>
            </w:pPr>
            <w:r w:rsidRPr="00C01BF8">
              <w:rPr>
                <w:rFonts w:ascii="Times New Roman" w:hAnsi="Times New Roman"/>
                <w:szCs w:val="22"/>
                <w:lang w:val="en-US"/>
              </w:rPr>
              <w:t>Annual report and/or sustainability report (in cooperation with consultants)</w:t>
            </w:r>
          </w:p>
        </w:tc>
      </w:tr>
      <w:tr w:rsidR="006E5F53" w:rsidRPr="00C01BF8" w:rsidTr="00F24F8C">
        <w:tc>
          <w:tcPr>
            <w:tcW w:w="438" w:type="dxa"/>
          </w:tcPr>
          <w:p w:rsidR="006E5F53" w:rsidRPr="005A273F" w:rsidRDefault="006E5F53" w:rsidP="006E5F53">
            <w:pPr>
              <w:pStyle w:val="a3"/>
              <w:tabs>
                <w:tab w:val="left" w:pos="567"/>
              </w:tabs>
              <w:spacing w:after="0" w:line="240" w:lineRule="auto"/>
              <w:ind w:firstLine="0"/>
              <w:rPr>
                <w:rFonts w:ascii="Times New Roman" w:hAnsi="Times New Roman"/>
                <w:b/>
                <w:bCs/>
                <w:szCs w:val="22"/>
              </w:rPr>
            </w:pPr>
            <w:r w:rsidRPr="005A273F">
              <w:rPr>
                <w:rFonts w:ascii="Times New Roman" w:hAnsi="Times New Roman"/>
                <w:b/>
                <w:bCs/>
                <w:szCs w:val="22"/>
              </w:rPr>
              <w:t>29</w:t>
            </w:r>
          </w:p>
        </w:tc>
        <w:tc>
          <w:tcPr>
            <w:tcW w:w="3248"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Development and approval of the Fund’s Climate Strategy / Climate Policy</w:t>
            </w:r>
          </w:p>
        </w:tc>
        <w:tc>
          <w:tcPr>
            <w:tcW w:w="1985"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Department of Strategic Analysis and Corporate Development</w:t>
            </w:r>
          </w:p>
        </w:tc>
        <w:tc>
          <w:tcPr>
            <w:tcW w:w="1843" w:type="dxa"/>
          </w:tcPr>
          <w:p w:rsidR="006E5F53" w:rsidRPr="005A273F" w:rsidRDefault="006E5F53" w:rsidP="00C01BF8">
            <w:pPr>
              <w:pStyle w:val="a3"/>
              <w:tabs>
                <w:tab w:val="left" w:pos="567"/>
              </w:tabs>
              <w:spacing w:after="0" w:line="240" w:lineRule="auto"/>
              <w:ind w:firstLine="0"/>
              <w:rPr>
                <w:rFonts w:ascii="Times New Roman" w:hAnsi="Times New Roman"/>
                <w:szCs w:val="22"/>
              </w:rPr>
            </w:pPr>
            <w:r w:rsidRPr="005A273F">
              <w:rPr>
                <w:rFonts w:ascii="Times New Roman" w:hAnsi="Times New Roman"/>
                <w:szCs w:val="22"/>
              </w:rPr>
              <w:t xml:space="preserve">2025 </w:t>
            </w:r>
          </w:p>
        </w:tc>
        <w:tc>
          <w:tcPr>
            <w:tcW w:w="2860"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Document approved by a resolution of the Fund’s Management Board</w:t>
            </w:r>
          </w:p>
        </w:tc>
      </w:tr>
      <w:tr w:rsidR="006E5F53" w:rsidRPr="00C01BF8" w:rsidTr="00F24F8C">
        <w:tc>
          <w:tcPr>
            <w:tcW w:w="438" w:type="dxa"/>
          </w:tcPr>
          <w:p w:rsidR="006E5F53" w:rsidRPr="005A273F" w:rsidRDefault="006E5F53" w:rsidP="006E5F53">
            <w:pPr>
              <w:pStyle w:val="a3"/>
              <w:tabs>
                <w:tab w:val="left" w:pos="567"/>
              </w:tabs>
              <w:spacing w:after="0" w:line="240" w:lineRule="auto"/>
              <w:ind w:firstLine="0"/>
              <w:rPr>
                <w:rFonts w:ascii="Times New Roman" w:hAnsi="Times New Roman"/>
                <w:b/>
                <w:bCs/>
                <w:szCs w:val="22"/>
              </w:rPr>
            </w:pPr>
            <w:r w:rsidRPr="005A273F">
              <w:rPr>
                <w:rFonts w:ascii="Times New Roman" w:hAnsi="Times New Roman"/>
                <w:b/>
                <w:bCs/>
                <w:szCs w:val="22"/>
              </w:rPr>
              <w:t>30</w:t>
            </w:r>
          </w:p>
        </w:tc>
        <w:tc>
          <w:tcPr>
            <w:tcW w:w="3248"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Development by the Fund of a methodology for calculating CO₂ emissions (Scope 1, Scope 2, and Scope 3 impacts), with disclosure of emissions information in the sustainability report and on the Fund’s corporate website</w:t>
            </w:r>
          </w:p>
        </w:tc>
        <w:tc>
          <w:tcPr>
            <w:tcW w:w="1985" w:type="dxa"/>
          </w:tcPr>
          <w:p w:rsidR="00B02B96" w:rsidRPr="005A273F" w:rsidRDefault="00C01BF8" w:rsidP="00B02B96">
            <w:pPr>
              <w:pStyle w:val="a3"/>
              <w:tabs>
                <w:tab w:val="left" w:pos="567"/>
              </w:tabs>
              <w:spacing w:after="0" w:line="240" w:lineRule="auto"/>
              <w:ind w:firstLine="0"/>
              <w:rPr>
                <w:rFonts w:ascii="Times New Roman" w:hAnsi="Times New Roman"/>
                <w:szCs w:val="22"/>
              </w:rPr>
            </w:pPr>
            <w:proofErr w:type="spellStart"/>
            <w:r w:rsidRPr="00C01BF8">
              <w:rPr>
                <w:rFonts w:ascii="Times New Roman" w:hAnsi="Times New Roman"/>
                <w:szCs w:val="22"/>
              </w:rPr>
              <w:t>Administrative</w:t>
            </w:r>
            <w:proofErr w:type="spellEnd"/>
            <w:r w:rsidRPr="00C01BF8">
              <w:rPr>
                <w:rFonts w:ascii="Times New Roman" w:hAnsi="Times New Roman"/>
                <w:szCs w:val="22"/>
              </w:rPr>
              <w:t xml:space="preserve"> </w:t>
            </w:r>
            <w:proofErr w:type="spellStart"/>
            <w:r w:rsidRPr="00C01BF8">
              <w:rPr>
                <w:rFonts w:ascii="Times New Roman" w:hAnsi="Times New Roman"/>
                <w:szCs w:val="22"/>
              </w:rPr>
              <w:t>Department</w:t>
            </w:r>
            <w:proofErr w:type="spellEnd"/>
          </w:p>
        </w:tc>
        <w:tc>
          <w:tcPr>
            <w:tcW w:w="1843" w:type="dxa"/>
          </w:tcPr>
          <w:p w:rsidR="006E5F53" w:rsidRPr="005A273F" w:rsidRDefault="006E5F53" w:rsidP="00C01BF8">
            <w:pPr>
              <w:pStyle w:val="a3"/>
              <w:tabs>
                <w:tab w:val="left" w:pos="567"/>
              </w:tabs>
              <w:spacing w:after="0" w:line="240" w:lineRule="auto"/>
              <w:ind w:firstLine="0"/>
              <w:rPr>
                <w:rFonts w:ascii="Times New Roman" w:hAnsi="Times New Roman"/>
                <w:szCs w:val="22"/>
              </w:rPr>
            </w:pPr>
            <w:r w:rsidRPr="005A273F">
              <w:rPr>
                <w:rFonts w:ascii="Times New Roman" w:hAnsi="Times New Roman"/>
                <w:szCs w:val="22"/>
              </w:rPr>
              <w:t xml:space="preserve">2025 </w:t>
            </w:r>
          </w:p>
        </w:tc>
        <w:tc>
          <w:tcPr>
            <w:tcW w:w="2860"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Document approved by a resolution of the Fund’s Management Board (in cooperation with consultants)</w:t>
            </w:r>
          </w:p>
        </w:tc>
      </w:tr>
      <w:tr w:rsidR="006E5F53" w:rsidRPr="00C01BF8" w:rsidTr="00F24F8C">
        <w:tc>
          <w:tcPr>
            <w:tcW w:w="438" w:type="dxa"/>
          </w:tcPr>
          <w:p w:rsidR="006E5F53" w:rsidRPr="005A273F" w:rsidRDefault="006E5F53" w:rsidP="006E5F53">
            <w:pPr>
              <w:pStyle w:val="a3"/>
              <w:tabs>
                <w:tab w:val="left" w:pos="567"/>
              </w:tabs>
              <w:spacing w:after="0" w:line="240" w:lineRule="auto"/>
              <w:ind w:firstLine="0"/>
              <w:rPr>
                <w:rFonts w:ascii="Times New Roman" w:hAnsi="Times New Roman"/>
                <w:b/>
                <w:bCs/>
                <w:szCs w:val="22"/>
              </w:rPr>
            </w:pPr>
            <w:r w:rsidRPr="005A273F">
              <w:rPr>
                <w:rFonts w:ascii="Times New Roman" w:hAnsi="Times New Roman"/>
                <w:b/>
                <w:bCs/>
                <w:szCs w:val="22"/>
              </w:rPr>
              <w:t>31</w:t>
            </w:r>
          </w:p>
        </w:tc>
        <w:tc>
          <w:tcPr>
            <w:tcW w:w="3248"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 xml:space="preserve">Development by the Fund of a Human Rights Policy or implementation of principles </w:t>
            </w:r>
            <w:r w:rsidRPr="00C01BF8">
              <w:rPr>
                <w:rFonts w:ascii="Times New Roman" w:hAnsi="Times New Roman"/>
                <w:szCs w:val="22"/>
                <w:lang w:val="en-US"/>
              </w:rPr>
              <w:lastRenderedPageBreak/>
              <w:t>equivalent to the Holding’s Human Rights Policy into the Fund’s existing documents</w:t>
            </w:r>
          </w:p>
        </w:tc>
        <w:tc>
          <w:tcPr>
            <w:tcW w:w="1985" w:type="dxa"/>
          </w:tcPr>
          <w:p w:rsidR="006E5F53" w:rsidRPr="005A273F" w:rsidRDefault="00C01BF8" w:rsidP="006E5F53">
            <w:pPr>
              <w:pStyle w:val="a3"/>
              <w:tabs>
                <w:tab w:val="left" w:pos="567"/>
              </w:tabs>
              <w:spacing w:after="0" w:line="240" w:lineRule="auto"/>
              <w:ind w:firstLine="0"/>
              <w:rPr>
                <w:rFonts w:ascii="Times New Roman" w:hAnsi="Times New Roman"/>
                <w:szCs w:val="22"/>
              </w:rPr>
            </w:pPr>
            <w:proofErr w:type="spellStart"/>
            <w:r w:rsidRPr="00C01BF8">
              <w:rPr>
                <w:rFonts w:ascii="Times New Roman" w:hAnsi="Times New Roman"/>
                <w:szCs w:val="22"/>
              </w:rPr>
              <w:lastRenderedPageBreak/>
              <w:t>Department</w:t>
            </w:r>
            <w:proofErr w:type="spellEnd"/>
            <w:r w:rsidRPr="00C01BF8">
              <w:rPr>
                <w:rFonts w:ascii="Times New Roman" w:hAnsi="Times New Roman"/>
                <w:szCs w:val="22"/>
              </w:rPr>
              <w:t xml:space="preserve"> </w:t>
            </w:r>
            <w:proofErr w:type="spellStart"/>
            <w:r w:rsidRPr="00C01BF8">
              <w:rPr>
                <w:rFonts w:ascii="Times New Roman" w:hAnsi="Times New Roman"/>
                <w:szCs w:val="22"/>
              </w:rPr>
              <w:t>of</w:t>
            </w:r>
            <w:proofErr w:type="spellEnd"/>
            <w:r w:rsidRPr="00C01BF8">
              <w:rPr>
                <w:rFonts w:ascii="Times New Roman" w:hAnsi="Times New Roman"/>
                <w:szCs w:val="22"/>
              </w:rPr>
              <w:t xml:space="preserve"> </w:t>
            </w:r>
            <w:proofErr w:type="spellStart"/>
            <w:r w:rsidRPr="00C01BF8">
              <w:rPr>
                <w:rFonts w:ascii="Times New Roman" w:hAnsi="Times New Roman"/>
                <w:szCs w:val="22"/>
              </w:rPr>
              <w:t>Personnel</w:t>
            </w:r>
            <w:proofErr w:type="spellEnd"/>
            <w:r w:rsidRPr="00C01BF8">
              <w:rPr>
                <w:rFonts w:ascii="Times New Roman" w:hAnsi="Times New Roman"/>
                <w:szCs w:val="22"/>
              </w:rPr>
              <w:t xml:space="preserve"> </w:t>
            </w:r>
            <w:proofErr w:type="spellStart"/>
            <w:r w:rsidRPr="00C01BF8">
              <w:rPr>
                <w:rFonts w:ascii="Times New Roman" w:hAnsi="Times New Roman"/>
                <w:szCs w:val="22"/>
              </w:rPr>
              <w:t>Development</w:t>
            </w:r>
            <w:proofErr w:type="spellEnd"/>
          </w:p>
        </w:tc>
        <w:tc>
          <w:tcPr>
            <w:tcW w:w="1843" w:type="dxa"/>
          </w:tcPr>
          <w:p w:rsidR="006E5F53" w:rsidRPr="005A273F" w:rsidRDefault="006E5F53" w:rsidP="00C01BF8">
            <w:pPr>
              <w:pStyle w:val="a3"/>
              <w:tabs>
                <w:tab w:val="left" w:pos="567"/>
              </w:tabs>
              <w:spacing w:after="0"/>
              <w:ind w:left="32" w:firstLine="8"/>
              <w:rPr>
                <w:rFonts w:ascii="Times New Roman" w:hAnsi="Times New Roman"/>
                <w:szCs w:val="22"/>
              </w:rPr>
            </w:pPr>
            <w:r w:rsidRPr="005A273F">
              <w:rPr>
                <w:rFonts w:ascii="Times New Roman" w:hAnsi="Times New Roman"/>
                <w:szCs w:val="22"/>
              </w:rPr>
              <w:t>2024 /</w:t>
            </w:r>
          </w:p>
          <w:p w:rsidR="006E5F53" w:rsidRPr="005A273F" w:rsidRDefault="006E5F53" w:rsidP="00C01BF8">
            <w:pPr>
              <w:pStyle w:val="a3"/>
              <w:tabs>
                <w:tab w:val="left" w:pos="567"/>
              </w:tabs>
              <w:spacing w:after="0" w:line="240" w:lineRule="auto"/>
              <w:ind w:firstLine="0"/>
              <w:rPr>
                <w:rFonts w:ascii="Times New Roman" w:hAnsi="Times New Roman"/>
                <w:szCs w:val="22"/>
              </w:rPr>
            </w:pPr>
            <w:r w:rsidRPr="005A273F">
              <w:rPr>
                <w:rFonts w:ascii="Times New Roman" w:hAnsi="Times New Roman"/>
                <w:szCs w:val="22"/>
              </w:rPr>
              <w:t xml:space="preserve">2025 </w:t>
            </w:r>
          </w:p>
        </w:tc>
        <w:tc>
          <w:tcPr>
            <w:tcW w:w="2860"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Document approved by a resolution of the Fund’s Management Board</w:t>
            </w:r>
          </w:p>
        </w:tc>
      </w:tr>
      <w:tr w:rsidR="006E5F53" w:rsidRPr="00C01BF8" w:rsidTr="00F24F8C">
        <w:tc>
          <w:tcPr>
            <w:tcW w:w="438" w:type="dxa"/>
          </w:tcPr>
          <w:p w:rsidR="006E5F53" w:rsidRPr="005A273F" w:rsidRDefault="006E5F53" w:rsidP="006E5F53">
            <w:pPr>
              <w:pStyle w:val="a3"/>
              <w:tabs>
                <w:tab w:val="left" w:pos="567"/>
              </w:tabs>
              <w:spacing w:after="0" w:line="240" w:lineRule="auto"/>
              <w:ind w:firstLine="0"/>
              <w:rPr>
                <w:rFonts w:ascii="Times New Roman" w:hAnsi="Times New Roman"/>
                <w:b/>
                <w:bCs/>
                <w:szCs w:val="22"/>
              </w:rPr>
            </w:pPr>
            <w:r w:rsidRPr="005A273F">
              <w:rPr>
                <w:rFonts w:ascii="Times New Roman" w:hAnsi="Times New Roman"/>
                <w:b/>
                <w:bCs/>
                <w:szCs w:val="22"/>
              </w:rPr>
              <w:lastRenderedPageBreak/>
              <w:t>32</w:t>
            </w:r>
          </w:p>
        </w:tc>
        <w:tc>
          <w:tcPr>
            <w:tcW w:w="3248"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Establishment of a “volunteer group” within the Fund and approval of the relevant Volunteer Policy/Rules</w:t>
            </w:r>
          </w:p>
        </w:tc>
        <w:tc>
          <w:tcPr>
            <w:tcW w:w="1985"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Department of Personnel Development, Marketing Department</w:t>
            </w:r>
          </w:p>
        </w:tc>
        <w:tc>
          <w:tcPr>
            <w:tcW w:w="1843" w:type="dxa"/>
          </w:tcPr>
          <w:p w:rsidR="006E5F53" w:rsidRPr="005A273F" w:rsidRDefault="006E5F53" w:rsidP="00C01BF8">
            <w:pPr>
              <w:pStyle w:val="a3"/>
              <w:tabs>
                <w:tab w:val="left" w:pos="567"/>
              </w:tabs>
              <w:spacing w:after="0" w:line="240" w:lineRule="auto"/>
              <w:ind w:firstLine="0"/>
              <w:rPr>
                <w:rFonts w:ascii="Times New Roman" w:hAnsi="Times New Roman"/>
                <w:szCs w:val="22"/>
              </w:rPr>
            </w:pPr>
            <w:r w:rsidRPr="005A273F">
              <w:rPr>
                <w:rFonts w:ascii="Times New Roman" w:hAnsi="Times New Roman"/>
                <w:szCs w:val="22"/>
              </w:rPr>
              <w:t xml:space="preserve">2024 </w:t>
            </w:r>
          </w:p>
        </w:tc>
        <w:tc>
          <w:tcPr>
            <w:tcW w:w="2860"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Resolution of the Fund’s Management Board</w:t>
            </w:r>
          </w:p>
        </w:tc>
      </w:tr>
      <w:tr w:rsidR="006E5F53" w:rsidRPr="00C01BF8" w:rsidTr="00F24F8C">
        <w:tc>
          <w:tcPr>
            <w:tcW w:w="438" w:type="dxa"/>
          </w:tcPr>
          <w:p w:rsidR="006E5F53" w:rsidRPr="005A273F" w:rsidRDefault="006E5F53" w:rsidP="006E5F53">
            <w:pPr>
              <w:pStyle w:val="a3"/>
              <w:tabs>
                <w:tab w:val="left" w:pos="567"/>
              </w:tabs>
              <w:spacing w:after="0" w:line="240" w:lineRule="auto"/>
              <w:ind w:firstLine="0"/>
              <w:rPr>
                <w:rFonts w:ascii="Times New Roman" w:hAnsi="Times New Roman"/>
                <w:b/>
                <w:bCs/>
                <w:szCs w:val="22"/>
              </w:rPr>
            </w:pPr>
            <w:r w:rsidRPr="005A273F">
              <w:rPr>
                <w:rFonts w:ascii="Times New Roman" w:hAnsi="Times New Roman"/>
                <w:b/>
                <w:bCs/>
                <w:szCs w:val="22"/>
              </w:rPr>
              <w:t>33</w:t>
            </w:r>
          </w:p>
        </w:tc>
        <w:tc>
          <w:tcPr>
            <w:tcW w:w="3248"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Development and approval of an ESG Risk Matrix, including the identification and consideration of ESG risks (including environmental risks), in accordance with international standards, etc.</w:t>
            </w:r>
          </w:p>
        </w:tc>
        <w:tc>
          <w:tcPr>
            <w:tcW w:w="1985" w:type="dxa"/>
          </w:tcPr>
          <w:p w:rsidR="006E5F53" w:rsidRPr="005A273F" w:rsidRDefault="00C01BF8" w:rsidP="006E5F53">
            <w:pPr>
              <w:pStyle w:val="a3"/>
              <w:tabs>
                <w:tab w:val="left" w:pos="567"/>
              </w:tabs>
              <w:spacing w:after="0" w:line="240" w:lineRule="auto"/>
              <w:ind w:firstLine="0"/>
              <w:rPr>
                <w:rFonts w:ascii="Times New Roman" w:hAnsi="Times New Roman"/>
                <w:szCs w:val="22"/>
              </w:rPr>
            </w:pPr>
            <w:proofErr w:type="spellStart"/>
            <w:r w:rsidRPr="00C01BF8">
              <w:rPr>
                <w:rFonts w:ascii="Times New Roman" w:hAnsi="Times New Roman"/>
                <w:szCs w:val="22"/>
              </w:rPr>
              <w:t>Risk</w:t>
            </w:r>
            <w:proofErr w:type="spellEnd"/>
            <w:r w:rsidRPr="00C01BF8">
              <w:rPr>
                <w:rFonts w:ascii="Times New Roman" w:hAnsi="Times New Roman"/>
                <w:szCs w:val="22"/>
              </w:rPr>
              <w:t xml:space="preserve"> </w:t>
            </w:r>
            <w:proofErr w:type="spellStart"/>
            <w:r w:rsidRPr="00C01BF8">
              <w:rPr>
                <w:rFonts w:ascii="Times New Roman" w:hAnsi="Times New Roman"/>
                <w:szCs w:val="22"/>
              </w:rPr>
              <w:t>Management</w:t>
            </w:r>
            <w:proofErr w:type="spellEnd"/>
            <w:r w:rsidRPr="00C01BF8">
              <w:rPr>
                <w:rFonts w:ascii="Times New Roman" w:hAnsi="Times New Roman"/>
                <w:szCs w:val="22"/>
              </w:rPr>
              <w:t xml:space="preserve"> </w:t>
            </w:r>
            <w:proofErr w:type="spellStart"/>
            <w:r w:rsidRPr="00C01BF8">
              <w:rPr>
                <w:rFonts w:ascii="Times New Roman" w:hAnsi="Times New Roman"/>
                <w:szCs w:val="22"/>
              </w:rPr>
              <w:t>Department</w:t>
            </w:r>
            <w:proofErr w:type="spellEnd"/>
          </w:p>
        </w:tc>
        <w:tc>
          <w:tcPr>
            <w:tcW w:w="1843" w:type="dxa"/>
          </w:tcPr>
          <w:p w:rsidR="006E5F53" w:rsidRPr="005A273F" w:rsidRDefault="00242FB7" w:rsidP="00C01BF8">
            <w:pPr>
              <w:pStyle w:val="a3"/>
              <w:tabs>
                <w:tab w:val="left" w:pos="567"/>
              </w:tabs>
              <w:spacing w:after="0" w:line="240" w:lineRule="auto"/>
              <w:ind w:firstLine="0"/>
              <w:rPr>
                <w:rFonts w:ascii="Times New Roman" w:hAnsi="Times New Roman"/>
                <w:szCs w:val="22"/>
              </w:rPr>
            </w:pPr>
            <w:r w:rsidRPr="005A273F">
              <w:rPr>
                <w:rFonts w:ascii="Times New Roman" w:hAnsi="Times New Roman"/>
                <w:szCs w:val="22"/>
              </w:rPr>
              <w:t>202</w:t>
            </w:r>
            <w:r>
              <w:rPr>
                <w:rFonts w:ascii="Times New Roman" w:hAnsi="Times New Roman"/>
                <w:szCs w:val="22"/>
              </w:rPr>
              <w:t>5</w:t>
            </w:r>
            <w:r w:rsidRPr="005A273F">
              <w:rPr>
                <w:rFonts w:ascii="Times New Roman" w:hAnsi="Times New Roman"/>
                <w:szCs w:val="22"/>
              </w:rPr>
              <w:t xml:space="preserve"> </w:t>
            </w:r>
          </w:p>
        </w:tc>
        <w:tc>
          <w:tcPr>
            <w:tcW w:w="2860" w:type="dxa"/>
          </w:tcPr>
          <w:p w:rsidR="006E5F53" w:rsidRPr="00C01BF8" w:rsidRDefault="00C01BF8" w:rsidP="006E5F53">
            <w:pPr>
              <w:pStyle w:val="a3"/>
              <w:tabs>
                <w:tab w:val="left" w:pos="567"/>
              </w:tabs>
              <w:spacing w:after="0" w:line="240" w:lineRule="auto"/>
              <w:ind w:firstLine="0"/>
              <w:rPr>
                <w:rFonts w:ascii="Times New Roman" w:hAnsi="Times New Roman"/>
                <w:szCs w:val="22"/>
                <w:lang w:val="en-US"/>
              </w:rPr>
            </w:pPr>
            <w:r w:rsidRPr="00C01BF8">
              <w:rPr>
                <w:rFonts w:ascii="Times New Roman" w:hAnsi="Times New Roman"/>
                <w:szCs w:val="22"/>
                <w:lang w:val="en-US"/>
              </w:rPr>
              <w:t>Document approved by a resolution of the Fund’s Management Board</w:t>
            </w:r>
          </w:p>
        </w:tc>
      </w:tr>
      <w:tr w:rsidR="006E5F53" w:rsidRPr="00CD357A" w:rsidTr="00F24F8C">
        <w:tc>
          <w:tcPr>
            <w:tcW w:w="438" w:type="dxa"/>
          </w:tcPr>
          <w:p w:rsidR="006E5F53" w:rsidRPr="005A273F" w:rsidRDefault="006E5F53" w:rsidP="006E5F53">
            <w:pPr>
              <w:pStyle w:val="a3"/>
              <w:tabs>
                <w:tab w:val="left" w:pos="567"/>
              </w:tabs>
              <w:spacing w:after="0" w:line="240" w:lineRule="auto"/>
              <w:ind w:firstLine="0"/>
              <w:rPr>
                <w:rFonts w:ascii="Times New Roman" w:hAnsi="Times New Roman"/>
                <w:b/>
                <w:bCs/>
                <w:szCs w:val="22"/>
              </w:rPr>
            </w:pPr>
            <w:r w:rsidRPr="005A273F">
              <w:rPr>
                <w:rFonts w:ascii="Times New Roman" w:hAnsi="Times New Roman"/>
                <w:b/>
                <w:bCs/>
                <w:szCs w:val="22"/>
              </w:rPr>
              <w:t>34</w:t>
            </w:r>
          </w:p>
        </w:tc>
        <w:tc>
          <w:tcPr>
            <w:tcW w:w="3248" w:type="dxa"/>
          </w:tcPr>
          <w:p w:rsidR="006E5F53" w:rsidRPr="00CD357A" w:rsidRDefault="00CD357A" w:rsidP="006E5F53">
            <w:pPr>
              <w:pStyle w:val="a3"/>
              <w:tabs>
                <w:tab w:val="left" w:pos="567"/>
              </w:tabs>
              <w:spacing w:after="0" w:line="240" w:lineRule="auto"/>
              <w:ind w:firstLine="0"/>
              <w:rPr>
                <w:rFonts w:ascii="Times New Roman" w:hAnsi="Times New Roman"/>
                <w:szCs w:val="22"/>
                <w:lang w:val="en-US"/>
              </w:rPr>
            </w:pPr>
            <w:r w:rsidRPr="00CD357A">
              <w:rPr>
                <w:rFonts w:ascii="Times New Roman" w:hAnsi="Times New Roman"/>
                <w:szCs w:val="22"/>
                <w:lang w:val="en-US"/>
              </w:rPr>
              <w:t>Development and approval of a Sustainable Finance Policy</w:t>
            </w:r>
          </w:p>
        </w:tc>
        <w:tc>
          <w:tcPr>
            <w:tcW w:w="1985" w:type="dxa"/>
          </w:tcPr>
          <w:p w:rsidR="006E5F53" w:rsidRPr="00B23ABE" w:rsidRDefault="00CD357A" w:rsidP="006E5F53">
            <w:pPr>
              <w:pStyle w:val="a3"/>
              <w:tabs>
                <w:tab w:val="left" w:pos="567"/>
              </w:tabs>
              <w:spacing w:after="0" w:line="240" w:lineRule="auto"/>
              <w:ind w:firstLine="0"/>
              <w:rPr>
                <w:rFonts w:ascii="Times New Roman" w:hAnsi="Times New Roman"/>
                <w:szCs w:val="22"/>
                <w:lang w:val="en-US"/>
              </w:rPr>
            </w:pPr>
            <w:r w:rsidRPr="00CD357A">
              <w:rPr>
                <w:rFonts w:ascii="Times New Roman" w:hAnsi="Times New Roman"/>
                <w:szCs w:val="22"/>
                <w:lang w:val="en-US"/>
              </w:rPr>
              <w:t>Department of Green and International Cooperation, jointly with interested Structural Units</w:t>
            </w:r>
          </w:p>
        </w:tc>
        <w:tc>
          <w:tcPr>
            <w:tcW w:w="1843" w:type="dxa"/>
          </w:tcPr>
          <w:p w:rsidR="006E5F53" w:rsidRPr="005A273F" w:rsidRDefault="006E5F53" w:rsidP="00C01BF8">
            <w:pPr>
              <w:pStyle w:val="a3"/>
              <w:tabs>
                <w:tab w:val="left" w:pos="567"/>
              </w:tabs>
              <w:spacing w:after="0" w:line="240" w:lineRule="auto"/>
              <w:ind w:firstLine="0"/>
              <w:rPr>
                <w:rFonts w:ascii="Times New Roman" w:hAnsi="Times New Roman"/>
                <w:szCs w:val="22"/>
              </w:rPr>
            </w:pPr>
            <w:r w:rsidRPr="005A273F">
              <w:rPr>
                <w:rFonts w:ascii="Times New Roman" w:hAnsi="Times New Roman"/>
                <w:szCs w:val="22"/>
              </w:rPr>
              <w:t xml:space="preserve">2025 </w:t>
            </w:r>
          </w:p>
        </w:tc>
        <w:tc>
          <w:tcPr>
            <w:tcW w:w="2860" w:type="dxa"/>
          </w:tcPr>
          <w:p w:rsidR="006E5F53" w:rsidRPr="00CD357A" w:rsidRDefault="00CD357A" w:rsidP="006E5F53">
            <w:pPr>
              <w:pStyle w:val="a3"/>
              <w:tabs>
                <w:tab w:val="left" w:pos="567"/>
              </w:tabs>
              <w:spacing w:after="0" w:line="240" w:lineRule="auto"/>
              <w:ind w:firstLine="0"/>
              <w:rPr>
                <w:rFonts w:ascii="Times New Roman" w:hAnsi="Times New Roman"/>
                <w:szCs w:val="22"/>
                <w:lang w:val="en-US"/>
              </w:rPr>
            </w:pPr>
            <w:r w:rsidRPr="00CD357A">
              <w:rPr>
                <w:rFonts w:ascii="Times New Roman" w:hAnsi="Times New Roman"/>
                <w:szCs w:val="22"/>
                <w:lang w:val="en-US"/>
              </w:rPr>
              <w:t>Document approved by a resolution of the Fund’s Management Board</w:t>
            </w:r>
          </w:p>
        </w:tc>
      </w:tr>
      <w:tr w:rsidR="00242FB7" w:rsidRPr="00CD357A" w:rsidTr="00F24F8C">
        <w:tc>
          <w:tcPr>
            <w:tcW w:w="438" w:type="dxa"/>
          </w:tcPr>
          <w:p w:rsidR="00242FB7" w:rsidRPr="005A273F" w:rsidRDefault="00242FB7" w:rsidP="00242FB7">
            <w:pPr>
              <w:pStyle w:val="a3"/>
              <w:tabs>
                <w:tab w:val="left" w:pos="567"/>
              </w:tabs>
              <w:spacing w:after="0" w:line="240" w:lineRule="auto"/>
              <w:ind w:firstLine="0"/>
              <w:rPr>
                <w:rFonts w:ascii="Times New Roman" w:hAnsi="Times New Roman"/>
                <w:b/>
                <w:bCs/>
                <w:szCs w:val="22"/>
              </w:rPr>
            </w:pPr>
            <w:r w:rsidRPr="005242CE">
              <w:rPr>
                <w:rFonts w:ascii="Times New Roman" w:hAnsi="Times New Roman"/>
                <w:b/>
                <w:bCs/>
                <w:szCs w:val="22"/>
              </w:rPr>
              <w:t>35</w:t>
            </w:r>
          </w:p>
        </w:tc>
        <w:tc>
          <w:tcPr>
            <w:tcW w:w="3248" w:type="dxa"/>
          </w:tcPr>
          <w:p w:rsidR="00242FB7" w:rsidRPr="00CD357A" w:rsidRDefault="00CD357A" w:rsidP="00242FB7">
            <w:pPr>
              <w:pStyle w:val="a3"/>
              <w:tabs>
                <w:tab w:val="left" w:pos="567"/>
              </w:tabs>
              <w:spacing w:after="0" w:line="240" w:lineRule="auto"/>
              <w:ind w:firstLine="0"/>
              <w:rPr>
                <w:rFonts w:ascii="Times New Roman" w:hAnsi="Times New Roman"/>
                <w:szCs w:val="22"/>
                <w:lang w:val="en-US"/>
              </w:rPr>
            </w:pPr>
            <w:r w:rsidRPr="00CD357A">
              <w:rPr>
                <w:rFonts w:ascii="Times New Roman" w:hAnsi="Times New Roman"/>
                <w:szCs w:val="22"/>
                <w:lang w:val="en-US"/>
              </w:rPr>
              <w:t>Update the Occupational Health and Industrial Safety Policy in accordance with international standards</w:t>
            </w:r>
          </w:p>
        </w:tc>
        <w:tc>
          <w:tcPr>
            <w:tcW w:w="1985" w:type="dxa"/>
          </w:tcPr>
          <w:p w:rsidR="00242FB7" w:rsidRPr="005A273F" w:rsidRDefault="00CD357A" w:rsidP="00242FB7">
            <w:pPr>
              <w:pStyle w:val="a3"/>
              <w:tabs>
                <w:tab w:val="left" w:pos="567"/>
              </w:tabs>
              <w:spacing w:after="0" w:line="240" w:lineRule="auto"/>
              <w:ind w:firstLine="0"/>
              <w:rPr>
                <w:rFonts w:ascii="Times New Roman" w:hAnsi="Times New Roman"/>
                <w:szCs w:val="22"/>
              </w:rPr>
            </w:pPr>
            <w:proofErr w:type="spellStart"/>
            <w:r w:rsidRPr="00CD357A">
              <w:rPr>
                <w:rFonts w:ascii="Times New Roman" w:hAnsi="Times New Roman"/>
                <w:szCs w:val="22"/>
              </w:rPr>
              <w:t>Security</w:t>
            </w:r>
            <w:proofErr w:type="spellEnd"/>
            <w:r w:rsidRPr="00CD357A">
              <w:rPr>
                <w:rFonts w:ascii="Times New Roman" w:hAnsi="Times New Roman"/>
                <w:szCs w:val="22"/>
              </w:rPr>
              <w:t xml:space="preserve"> </w:t>
            </w:r>
            <w:proofErr w:type="spellStart"/>
            <w:r w:rsidRPr="00CD357A">
              <w:rPr>
                <w:rFonts w:ascii="Times New Roman" w:hAnsi="Times New Roman"/>
                <w:szCs w:val="22"/>
              </w:rPr>
              <w:t>Department</w:t>
            </w:r>
            <w:proofErr w:type="spellEnd"/>
          </w:p>
        </w:tc>
        <w:tc>
          <w:tcPr>
            <w:tcW w:w="1843" w:type="dxa"/>
          </w:tcPr>
          <w:p w:rsidR="00242FB7" w:rsidRPr="005A273F" w:rsidRDefault="00242FB7" w:rsidP="00C01BF8">
            <w:pPr>
              <w:pStyle w:val="a3"/>
              <w:tabs>
                <w:tab w:val="left" w:pos="567"/>
              </w:tabs>
              <w:spacing w:after="0" w:line="240" w:lineRule="auto"/>
              <w:ind w:firstLine="0"/>
              <w:rPr>
                <w:rFonts w:ascii="Times New Roman" w:hAnsi="Times New Roman"/>
                <w:szCs w:val="22"/>
              </w:rPr>
            </w:pPr>
            <w:r w:rsidRPr="005242CE">
              <w:rPr>
                <w:rFonts w:ascii="Times New Roman" w:hAnsi="Times New Roman"/>
                <w:szCs w:val="22"/>
              </w:rPr>
              <w:t xml:space="preserve">2024 </w:t>
            </w:r>
          </w:p>
        </w:tc>
        <w:tc>
          <w:tcPr>
            <w:tcW w:w="2860" w:type="dxa"/>
          </w:tcPr>
          <w:p w:rsidR="00242FB7" w:rsidRPr="00CD357A" w:rsidRDefault="00CD357A" w:rsidP="00242FB7">
            <w:pPr>
              <w:pStyle w:val="a3"/>
              <w:tabs>
                <w:tab w:val="left" w:pos="567"/>
              </w:tabs>
              <w:spacing w:after="0" w:line="240" w:lineRule="auto"/>
              <w:ind w:firstLine="0"/>
              <w:rPr>
                <w:rFonts w:ascii="Times New Roman" w:hAnsi="Times New Roman"/>
                <w:szCs w:val="22"/>
                <w:lang w:val="en-US"/>
              </w:rPr>
            </w:pPr>
            <w:r w:rsidRPr="00CD357A">
              <w:rPr>
                <w:rFonts w:ascii="Times New Roman" w:hAnsi="Times New Roman"/>
                <w:szCs w:val="22"/>
                <w:lang w:val="en-US"/>
              </w:rPr>
              <w:t>Document approved by a resolution of the Fund’s Management Board</w:t>
            </w:r>
          </w:p>
        </w:tc>
      </w:tr>
    </w:tbl>
    <w:p w:rsidR="00AA0866" w:rsidRPr="00CD357A" w:rsidRDefault="00AA0866" w:rsidP="006F5637">
      <w:pPr>
        <w:pStyle w:val="a3"/>
        <w:tabs>
          <w:tab w:val="left" w:pos="567"/>
        </w:tabs>
        <w:spacing w:after="0" w:line="240" w:lineRule="auto"/>
        <w:rPr>
          <w:rFonts w:ascii="Times New Roman" w:hAnsi="Times New Roman"/>
          <w:color w:val="000000" w:themeColor="text1"/>
          <w:sz w:val="28"/>
          <w:szCs w:val="28"/>
          <w:lang w:val="en-US"/>
        </w:rPr>
      </w:pPr>
    </w:p>
    <w:bookmarkEnd w:id="0"/>
    <w:p w:rsidR="006F5637" w:rsidRPr="00CD357A" w:rsidRDefault="006F5637" w:rsidP="006F5637">
      <w:pPr>
        <w:pStyle w:val="a3"/>
        <w:tabs>
          <w:tab w:val="left" w:pos="567"/>
        </w:tabs>
        <w:spacing w:after="0" w:line="240" w:lineRule="auto"/>
        <w:rPr>
          <w:rFonts w:ascii="Times New Roman" w:hAnsi="Times New Roman"/>
          <w:color w:val="000000" w:themeColor="text1"/>
          <w:sz w:val="24"/>
          <w:szCs w:val="24"/>
          <w:lang w:val="en-US"/>
        </w:rPr>
      </w:pPr>
    </w:p>
    <w:sectPr w:rsidR="006F5637" w:rsidRPr="00CD357A" w:rsidSect="006114B9">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47" w:rsidRDefault="00BB5247" w:rsidP="00914A8E">
      <w:pPr>
        <w:spacing w:after="0" w:line="240" w:lineRule="auto"/>
      </w:pPr>
      <w:r>
        <w:separator/>
      </w:r>
    </w:p>
  </w:endnote>
  <w:endnote w:type="continuationSeparator" w:id="0">
    <w:p w:rsidR="00BB5247" w:rsidRDefault="00BB5247" w:rsidP="0091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70"/>
    </w:tblGrid>
    <w:tr w:rsidR="00AC16FB" w:rsidRPr="00AC16FB" w:rsidTr="00AC16FB">
      <w:trPr>
        <w:trHeight w:hRule="exact" w:val="13608"/>
      </w:trPr>
      <w:tc>
        <w:tcPr>
          <w:tcW w:w="538" w:type="dxa"/>
          <w:textDirection w:val="btLr"/>
        </w:tcPr>
        <w:p w:rsidR="00452F81" w:rsidRPr="00AC16FB" w:rsidRDefault="00A617D3"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30.11.2023 15:12. Копия электронного документа.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BB5247"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47" w:rsidRDefault="00BB5247" w:rsidP="00914A8E">
      <w:pPr>
        <w:spacing w:after="0" w:line="240" w:lineRule="auto"/>
      </w:pPr>
      <w:r>
        <w:separator/>
      </w:r>
    </w:p>
  </w:footnote>
  <w:footnote w:type="continuationSeparator" w:id="0">
    <w:p w:rsidR="00BB5247" w:rsidRDefault="00BB5247" w:rsidP="00914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BB2"/>
    <w:multiLevelType w:val="hybridMultilevel"/>
    <w:tmpl w:val="30AED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B0B2E"/>
    <w:multiLevelType w:val="hybridMultilevel"/>
    <w:tmpl w:val="4C98F61E"/>
    <w:lvl w:ilvl="0" w:tplc="5DEECA8A">
      <w:start w:val="1"/>
      <w:numFmt w:val="bullet"/>
      <w:lvlText w:val="•"/>
      <w:lvlJc w:val="left"/>
      <w:pPr>
        <w:tabs>
          <w:tab w:val="num" w:pos="720"/>
        </w:tabs>
        <w:ind w:left="720" w:hanging="360"/>
      </w:pPr>
      <w:rPr>
        <w:rFonts w:ascii="Times New Roman" w:hAnsi="Times New Roman" w:hint="default"/>
      </w:rPr>
    </w:lvl>
    <w:lvl w:ilvl="1" w:tplc="877400CC" w:tentative="1">
      <w:start w:val="1"/>
      <w:numFmt w:val="bullet"/>
      <w:lvlText w:val="•"/>
      <w:lvlJc w:val="left"/>
      <w:pPr>
        <w:tabs>
          <w:tab w:val="num" w:pos="1440"/>
        </w:tabs>
        <w:ind w:left="1440" w:hanging="360"/>
      </w:pPr>
      <w:rPr>
        <w:rFonts w:ascii="Times New Roman" w:hAnsi="Times New Roman" w:hint="default"/>
      </w:rPr>
    </w:lvl>
    <w:lvl w:ilvl="2" w:tplc="CA14E624" w:tentative="1">
      <w:start w:val="1"/>
      <w:numFmt w:val="bullet"/>
      <w:lvlText w:val="•"/>
      <w:lvlJc w:val="left"/>
      <w:pPr>
        <w:tabs>
          <w:tab w:val="num" w:pos="2160"/>
        </w:tabs>
        <w:ind w:left="2160" w:hanging="360"/>
      </w:pPr>
      <w:rPr>
        <w:rFonts w:ascii="Times New Roman" w:hAnsi="Times New Roman" w:hint="default"/>
      </w:rPr>
    </w:lvl>
    <w:lvl w:ilvl="3" w:tplc="8574534C" w:tentative="1">
      <w:start w:val="1"/>
      <w:numFmt w:val="bullet"/>
      <w:lvlText w:val="•"/>
      <w:lvlJc w:val="left"/>
      <w:pPr>
        <w:tabs>
          <w:tab w:val="num" w:pos="2880"/>
        </w:tabs>
        <w:ind w:left="2880" w:hanging="360"/>
      </w:pPr>
      <w:rPr>
        <w:rFonts w:ascii="Times New Roman" w:hAnsi="Times New Roman" w:hint="default"/>
      </w:rPr>
    </w:lvl>
    <w:lvl w:ilvl="4" w:tplc="16C86960" w:tentative="1">
      <w:start w:val="1"/>
      <w:numFmt w:val="bullet"/>
      <w:lvlText w:val="•"/>
      <w:lvlJc w:val="left"/>
      <w:pPr>
        <w:tabs>
          <w:tab w:val="num" w:pos="3600"/>
        </w:tabs>
        <w:ind w:left="3600" w:hanging="360"/>
      </w:pPr>
      <w:rPr>
        <w:rFonts w:ascii="Times New Roman" w:hAnsi="Times New Roman" w:hint="default"/>
      </w:rPr>
    </w:lvl>
    <w:lvl w:ilvl="5" w:tplc="111E2E52" w:tentative="1">
      <w:start w:val="1"/>
      <w:numFmt w:val="bullet"/>
      <w:lvlText w:val="•"/>
      <w:lvlJc w:val="left"/>
      <w:pPr>
        <w:tabs>
          <w:tab w:val="num" w:pos="4320"/>
        </w:tabs>
        <w:ind w:left="4320" w:hanging="360"/>
      </w:pPr>
      <w:rPr>
        <w:rFonts w:ascii="Times New Roman" w:hAnsi="Times New Roman" w:hint="default"/>
      </w:rPr>
    </w:lvl>
    <w:lvl w:ilvl="6" w:tplc="6DCCB620" w:tentative="1">
      <w:start w:val="1"/>
      <w:numFmt w:val="bullet"/>
      <w:lvlText w:val="•"/>
      <w:lvlJc w:val="left"/>
      <w:pPr>
        <w:tabs>
          <w:tab w:val="num" w:pos="5040"/>
        </w:tabs>
        <w:ind w:left="5040" w:hanging="360"/>
      </w:pPr>
      <w:rPr>
        <w:rFonts w:ascii="Times New Roman" w:hAnsi="Times New Roman" w:hint="default"/>
      </w:rPr>
    </w:lvl>
    <w:lvl w:ilvl="7" w:tplc="74820452" w:tentative="1">
      <w:start w:val="1"/>
      <w:numFmt w:val="bullet"/>
      <w:lvlText w:val="•"/>
      <w:lvlJc w:val="left"/>
      <w:pPr>
        <w:tabs>
          <w:tab w:val="num" w:pos="5760"/>
        </w:tabs>
        <w:ind w:left="5760" w:hanging="360"/>
      </w:pPr>
      <w:rPr>
        <w:rFonts w:ascii="Times New Roman" w:hAnsi="Times New Roman" w:hint="default"/>
      </w:rPr>
    </w:lvl>
    <w:lvl w:ilvl="8" w:tplc="14D8FFAA" w:tentative="1">
      <w:start w:val="1"/>
      <w:numFmt w:val="bullet"/>
      <w:lvlText w:val="•"/>
      <w:lvlJc w:val="left"/>
      <w:pPr>
        <w:tabs>
          <w:tab w:val="num" w:pos="6480"/>
        </w:tabs>
        <w:ind w:left="6480" w:hanging="360"/>
      </w:pPr>
      <w:rPr>
        <w:rFonts w:ascii="Times New Roman" w:hAnsi="Times New Roman" w:hint="default"/>
      </w:rPr>
    </w:lvl>
  </w:abstractNum>
  <w:abstractNum w:abstractNumId="2">
    <w:nsid w:val="2E23337F"/>
    <w:multiLevelType w:val="hybridMultilevel"/>
    <w:tmpl w:val="7F8E10DE"/>
    <w:lvl w:ilvl="0" w:tplc="7BB43A28">
      <w:start w:val="1"/>
      <w:numFmt w:val="bullet"/>
      <w:lvlText w:val="•"/>
      <w:lvlJc w:val="left"/>
      <w:pPr>
        <w:tabs>
          <w:tab w:val="num" w:pos="720"/>
        </w:tabs>
        <w:ind w:left="720" w:hanging="360"/>
      </w:pPr>
      <w:rPr>
        <w:rFonts w:ascii="Times New Roman" w:hAnsi="Times New Roman" w:hint="default"/>
      </w:rPr>
    </w:lvl>
    <w:lvl w:ilvl="1" w:tplc="60A63D54" w:tentative="1">
      <w:start w:val="1"/>
      <w:numFmt w:val="bullet"/>
      <w:lvlText w:val="•"/>
      <w:lvlJc w:val="left"/>
      <w:pPr>
        <w:tabs>
          <w:tab w:val="num" w:pos="1440"/>
        </w:tabs>
        <w:ind w:left="1440" w:hanging="360"/>
      </w:pPr>
      <w:rPr>
        <w:rFonts w:ascii="Times New Roman" w:hAnsi="Times New Roman" w:hint="default"/>
      </w:rPr>
    </w:lvl>
    <w:lvl w:ilvl="2" w:tplc="4850A184" w:tentative="1">
      <w:start w:val="1"/>
      <w:numFmt w:val="bullet"/>
      <w:lvlText w:val="•"/>
      <w:lvlJc w:val="left"/>
      <w:pPr>
        <w:tabs>
          <w:tab w:val="num" w:pos="2160"/>
        </w:tabs>
        <w:ind w:left="2160" w:hanging="360"/>
      </w:pPr>
      <w:rPr>
        <w:rFonts w:ascii="Times New Roman" w:hAnsi="Times New Roman" w:hint="default"/>
      </w:rPr>
    </w:lvl>
    <w:lvl w:ilvl="3" w:tplc="B4302AA6" w:tentative="1">
      <w:start w:val="1"/>
      <w:numFmt w:val="bullet"/>
      <w:lvlText w:val="•"/>
      <w:lvlJc w:val="left"/>
      <w:pPr>
        <w:tabs>
          <w:tab w:val="num" w:pos="2880"/>
        </w:tabs>
        <w:ind w:left="2880" w:hanging="360"/>
      </w:pPr>
      <w:rPr>
        <w:rFonts w:ascii="Times New Roman" w:hAnsi="Times New Roman" w:hint="default"/>
      </w:rPr>
    </w:lvl>
    <w:lvl w:ilvl="4" w:tplc="76AC20C8" w:tentative="1">
      <w:start w:val="1"/>
      <w:numFmt w:val="bullet"/>
      <w:lvlText w:val="•"/>
      <w:lvlJc w:val="left"/>
      <w:pPr>
        <w:tabs>
          <w:tab w:val="num" w:pos="3600"/>
        </w:tabs>
        <w:ind w:left="3600" w:hanging="360"/>
      </w:pPr>
      <w:rPr>
        <w:rFonts w:ascii="Times New Roman" w:hAnsi="Times New Roman" w:hint="default"/>
      </w:rPr>
    </w:lvl>
    <w:lvl w:ilvl="5" w:tplc="EDA80A0A" w:tentative="1">
      <w:start w:val="1"/>
      <w:numFmt w:val="bullet"/>
      <w:lvlText w:val="•"/>
      <w:lvlJc w:val="left"/>
      <w:pPr>
        <w:tabs>
          <w:tab w:val="num" w:pos="4320"/>
        </w:tabs>
        <w:ind w:left="4320" w:hanging="360"/>
      </w:pPr>
      <w:rPr>
        <w:rFonts w:ascii="Times New Roman" w:hAnsi="Times New Roman" w:hint="default"/>
      </w:rPr>
    </w:lvl>
    <w:lvl w:ilvl="6" w:tplc="900CA82E" w:tentative="1">
      <w:start w:val="1"/>
      <w:numFmt w:val="bullet"/>
      <w:lvlText w:val="•"/>
      <w:lvlJc w:val="left"/>
      <w:pPr>
        <w:tabs>
          <w:tab w:val="num" w:pos="5040"/>
        </w:tabs>
        <w:ind w:left="5040" w:hanging="360"/>
      </w:pPr>
      <w:rPr>
        <w:rFonts w:ascii="Times New Roman" w:hAnsi="Times New Roman" w:hint="default"/>
      </w:rPr>
    </w:lvl>
    <w:lvl w:ilvl="7" w:tplc="6C7A1742" w:tentative="1">
      <w:start w:val="1"/>
      <w:numFmt w:val="bullet"/>
      <w:lvlText w:val="•"/>
      <w:lvlJc w:val="left"/>
      <w:pPr>
        <w:tabs>
          <w:tab w:val="num" w:pos="5760"/>
        </w:tabs>
        <w:ind w:left="5760" w:hanging="360"/>
      </w:pPr>
      <w:rPr>
        <w:rFonts w:ascii="Times New Roman" w:hAnsi="Times New Roman" w:hint="default"/>
      </w:rPr>
    </w:lvl>
    <w:lvl w:ilvl="8" w:tplc="7DDE335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1B47601"/>
    <w:multiLevelType w:val="hybridMultilevel"/>
    <w:tmpl w:val="8ED87B00"/>
    <w:lvl w:ilvl="0" w:tplc="3E12BA8E">
      <w:start w:val="1"/>
      <w:numFmt w:val="bullet"/>
      <w:lvlText w:val="•"/>
      <w:lvlJc w:val="left"/>
      <w:pPr>
        <w:tabs>
          <w:tab w:val="num" w:pos="720"/>
        </w:tabs>
        <w:ind w:left="720" w:hanging="360"/>
      </w:pPr>
      <w:rPr>
        <w:rFonts w:ascii="Times New Roman" w:hAnsi="Times New Roman" w:hint="default"/>
      </w:rPr>
    </w:lvl>
    <w:lvl w:ilvl="1" w:tplc="7ABCFDE8" w:tentative="1">
      <w:start w:val="1"/>
      <w:numFmt w:val="bullet"/>
      <w:lvlText w:val="•"/>
      <w:lvlJc w:val="left"/>
      <w:pPr>
        <w:tabs>
          <w:tab w:val="num" w:pos="1440"/>
        </w:tabs>
        <w:ind w:left="1440" w:hanging="360"/>
      </w:pPr>
      <w:rPr>
        <w:rFonts w:ascii="Times New Roman" w:hAnsi="Times New Roman" w:hint="default"/>
      </w:rPr>
    </w:lvl>
    <w:lvl w:ilvl="2" w:tplc="4300B8FA" w:tentative="1">
      <w:start w:val="1"/>
      <w:numFmt w:val="bullet"/>
      <w:lvlText w:val="•"/>
      <w:lvlJc w:val="left"/>
      <w:pPr>
        <w:tabs>
          <w:tab w:val="num" w:pos="2160"/>
        </w:tabs>
        <w:ind w:left="2160" w:hanging="360"/>
      </w:pPr>
      <w:rPr>
        <w:rFonts w:ascii="Times New Roman" w:hAnsi="Times New Roman" w:hint="default"/>
      </w:rPr>
    </w:lvl>
    <w:lvl w:ilvl="3" w:tplc="C1E2A83E" w:tentative="1">
      <w:start w:val="1"/>
      <w:numFmt w:val="bullet"/>
      <w:lvlText w:val="•"/>
      <w:lvlJc w:val="left"/>
      <w:pPr>
        <w:tabs>
          <w:tab w:val="num" w:pos="2880"/>
        </w:tabs>
        <w:ind w:left="2880" w:hanging="360"/>
      </w:pPr>
      <w:rPr>
        <w:rFonts w:ascii="Times New Roman" w:hAnsi="Times New Roman" w:hint="default"/>
      </w:rPr>
    </w:lvl>
    <w:lvl w:ilvl="4" w:tplc="DE6EA052" w:tentative="1">
      <w:start w:val="1"/>
      <w:numFmt w:val="bullet"/>
      <w:lvlText w:val="•"/>
      <w:lvlJc w:val="left"/>
      <w:pPr>
        <w:tabs>
          <w:tab w:val="num" w:pos="3600"/>
        </w:tabs>
        <w:ind w:left="3600" w:hanging="360"/>
      </w:pPr>
      <w:rPr>
        <w:rFonts w:ascii="Times New Roman" w:hAnsi="Times New Roman" w:hint="default"/>
      </w:rPr>
    </w:lvl>
    <w:lvl w:ilvl="5" w:tplc="003A1E0C" w:tentative="1">
      <w:start w:val="1"/>
      <w:numFmt w:val="bullet"/>
      <w:lvlText w:val="•"/>
      <w:lvlJc w:val="left"/>
      <w:pPr>
        <w:tabs>
          <w:tab w:val="num" w:pos="4320"/>
        </w:tabs>
        <w:ind w:left="4320" w:hanging="360"/>
      </w:pPr>
      <w:rPr>
        <w:rFonts w:ascii="Times New Roman" w:hAnsi="Times New Roman" w:hint="default"/>
      </w:rPr>
    </w:lvl>
    <w:lvl w:ilvl="6" w:tplc="18CEE0D2" w:tentative="1">
      <w:start w:val="1"/>
      <w:numFmt w:val="bullet"/>
      <w:lvlText w:val="•"/>
      <w:lvlJc w:val="left"/>
      <w:pPr>
        <w:tabs>
          <w:tab w:val="num" w:pos="5040"/>
        </w:tabs>
        <w:ind w:left="5040" w:hanging="360"/>
      </w:pPr>
      <w:rPr>
        <w:rFonts w:ascii="Times New Roman" w:hAnsi="Times New Roman" w:hint="default"/>
      </w:rPr>
    </w:lvl>
    <w:lvl w:ilvl="7" w:tplc="5C14BD3E" w:tentative="1">
      <w:start w:val="1"/>
      <w:numFmt w:val="bullet"/>
      <w:lvlText w:val="•"/>
      <w:lvlJc w:val="left"/>
      <w:pPr>
        <w:tabs>
          <w:tab w:val="num" w:pos="5760"/>
        </w:tabs>
        <w:ind w:left="5760" w:hanging="360"/>
      </w:pPr>
      <w:rPr>
        <w:rFonts w:ascii="Times New Roman" w:hAnsi="Times New Roman" w:hint="default"/>
      </w:rPr>
    </w:lvl>
    <w:lvl w:ilvl="8" w:tplc="6A72F7F6" w:tentative="1">
      <w:start w:val="1"/>
      <w:numFmt w:val="bullet"/>
      <w:lvlText w:val="•"/>
      <w:lvlJc w:val="left"/>
      <w:pPr>
        <w:tabs>
          <w:tab w:val="num" w:pos="6480"/>
        </w:tabs>
        <w:ind w:left="6480" w:hanging="360"/>
      </w:pPr>
      <w:rPr>
        <w:rFonts w:ascii="Times New Roman" w:hAnsi="Times New Roman" w:hint="default"/>
      </w:rPr>
    </w:lvl>
  </w:abstractNum>
  <w:abstractNum w:abstractNumId="4">
    <w:nsid w:val="59E43905"/>
    <w:multiLevelType w:val="hybridMultilevel"/>
    <w:tmpl w:val="566CC7FC"/>
    <w:lvl w:ilvl="0" w:tplc="83A4BAF2">
      <w:start w:val="1"/>
      <w:numFmt w:val="bullet"/>
      <w:lvlText w:val="•"/>
      <w:lvlJc w:val="left"/>
      <w:pPr>
        <w:tabs>
          <w:tab w:val="num" w:pos="720"/>
        </w:tabs>
        <w:ind w:left="720" w:hanging="360"/>
      </w:pPr>
      <w:rPr>
        <w:rFonts w:ascii="Times New Roman" w:hAnsi="Times New Roman" w:hint="default"/>
      </w:rPr>
    </w:lvl>
    <w:lvl w:ilvl="1" w:tplc="89366116" w:tentative="1">
      <w:start w:val="1"/>
      <w:numFmt w:val="bullet"/>
      <w:lvlText w:val="•"/>
      <w:lvlJc w:val="left"/>
      <w:pPr>
        <w:tabs>
          <w:tab w:val="num" w:pos="1440"/>
        </w:tabs>
        <w:ind w:left="1440" w:hanging="360"/>
      </w:pPr>
      <w:rPr>
        <w:rFonts w:ascii="Times New Roman" w:hAnsi="Times New Roman" w:hint="default"/>
      </w:rPr>
    </w:lvl>
    <w:lvl w:ilvl="2" w:tplc="20E6A066" w:tentative="1">
      <w:start w:val="1"/>
      <w:numFmt w:val="bullet"/>
      <w:lvlText w:val="•"/>
      <w:lvlJc w:val="left"/>
      <w:pPr>
        <w:tabs>
          <w:tab w:val="num" w:pos="2160"/>
        </w:tabs>
        <w:ind w:left="2160" w:hanging="360"/>
      </w:pPr>
      <w:rPr>
        <w:rFonts w:ascii="Times New Roman" w:hAnsi="Times New Roman" w:hint="default"/>
      </w:rPr>
    </w:lvl>
    <w:lvl w:ilvl="3" w:tplc="004A62F4" w:tentative="1">
      <w:start w:val="1"/>
      <w:numFmt w:val="bullet"/>
      <w:lvlText w:val="•"/>
      <w:lvlJc w:val="left"/>
      <w:pPr>
        <w:tabs>
          <w:tab w:val="num" w:pos="2880"/>
        </w:tabs>
        <w:ind w:left="2880" w:hanging="360"/>
      </w:pPr>
      <w:rPr>
        <w:rFonts w:ascii="Times New Roman" w:hAnsi="Times New Roman" w:hint="default"/>
      </w:rPr>
    </w:lvl>
    <w:lvl w:ilvl="4" w:tplc="9F8EA668" w:tentative="1">
      <w:start w:val="1"/>
      <w:numFmt w:val="bullet"/>
      <w:lvlText w:val="•"/>
      <w:lvlJc w:val="left"/>
      <w:pPr>
        <w:tabs>
          <w:tab w:val="num" w:pos="3600"/>
        </w:tabs>
        <w:ind w:left="3600" w:hanging="360"/>
      </w:pPr>
      <w:rPr>
        <w:rFonts w:ascii="Times New Roman" w:hAnsi="Times New Roman" w:hint="default"/>
      </w:rPr>
    </w:lvl>
    <w:lvl w:ilvl="5" w:tplc="707474D6" w:tentative="1">
      <w:start w:val="1"/>
      <w:numFmt w:val="bullet"/>
      <w:lvlText w:val="•"/>
      <w:lvlJc w:val="left"/>
      <w:pPr>
        <w:tabs>
          <w:tab w:val="num" w:pos="4320"/>
        </w:tabs>
        <w:ind w:left="4320" w:hanging="360"/>
      </w:pPr>
      <w:rPr>
        <w:rFonts w:ascii="Times New Roman" w:hAnsi="Times New Roman" w:hint="default"/>
      </w:rPr>
    </w:lvl>
    <w:lvl w:ilvl="6" w:tplc="D3D40EDA" w:tentative="1">
      <w:start w:val="1"/>
      <w:numFmt w:val="bullet"/>
      <w:lvlText w:val="•"/>
      <w:lvlJc w:val="left"/>
      <w:pPr>
        <w:tabs>
          <w:tab w:val="num" w:pos="5040"/>
        </w:tabs>
        <w:ind w:left="5040" w:hanging="360"/>
      </w:pPr>
      <w:rPr>
        <w:rFonts w:ascii="Times New Roman" w:hAnsi="Times New Roman" w:hint="default"/>
      </w:rPr>
    </w:lvl>
    <w:lvl w:ilvl="7" w:tplc="17740EFC" w:tentative="1">
      <w:start w:val="1"/>
      <w:numFmt w:val="bullet"/>
      <w:lvlText w:val="•"/>
      <w:lvlJc w:val="left"/>
      <w:pPr>
        <w:tabs>
          <w:tab w:val="num" w:pos="5760"/>
        </w:tabs>
        <w:ind w:left="5760" w:hanging="360"/>
      </w:pPr>
      <w:rPr>
        <w:rFonts w:ascii="Times New Roman" w:hAnsi="Times New Roman" w:hint="default"/>
      </w:rPr>
    </w:lvl>
    <w:lvl w:ilvl="8" w:tplc="4C68A9FC" w:tentative="1">
      <w:start w:val="1"/>
      <w:numFmt w:val="bullet"/>
      <w:lvlText w:val="•"/>
      <w:lvlJc w:val="left"/>
      <w:pPr>
        <w:tabs>
          <w:tab w:val="num" w:pos="6480"/>
        </w:tabs>
        <w:ind w:left="6480" w:hanging="360"/>
      </w:pPr>
      <w:rPr>
        <w:rFonts w:ascii="Times New Roman" w:hAnsi="Times New Roman" w:hint="default"/>
      </w:rPr>
    </w:lvl>
  </w:abstractNum>
  <w:abstractNum w:abstractNumId="5">
    <w:nsid w:val="5EE83D18"/>
    <w:multiLevelType w:val="hybridMultilevel"/>
    <w:tmpl w:val="F154BB66"/>
    <w:lvl w:ilvl="0" w:tplc="CAA489AC">
      <w:start w:val="1"/>
      <w:numFmt w:val="bullet"/>
      <w:lvlText w:val="•"/>
      <w:lvlJc w:val="left"/>
      <w:pPr>
        <w:tabs>
          <w:tab w:val="num" w:pos="720"/>
        </w:tabs>
        <w:ind w:left="720" w:hanging="360"/>
      </w:pPr>
      <w:rPr>
        <w:rFonts w:ascii="Times New Roman" w:hAnsi="Times New Roman" w:hint="default"/>
      </w:rPr>
    </w:lvl>
    <w:lvl w:ilvl="1" w:tplc="07D8690A" w:tentative="1">
      <w:start w:val="1"/>
      <w:numFmt w:val="bullet"/>
      <w:lvlText w:val="•"/>
      <w:lvlJc w:val="left"/>
      <w:pPr>
        <w:tabs>
          <w:tab w:val="num" w:pos="1440"/>
        </w:tabs>
        <w:ind w:left="1440" w:hanging="360"/>
      </w:pPr>
      <w:rPr>
        <w:rFonts w:ascii="Times New Roman" w:hAnsi="Times New Roman" w:hint="default"/>
      </w:rPr>
    </w:lvl>
    <w:lvl w:ilvl="2" w:tplc="078E2CB6" w:tentative="1">
      <w:start w:val="1"/>
      <w:numFmt w:val="bullet"/>
      <w:lvlText w:val="•"/>
      <w:lvlJc w:val="left"/>
      <w:pPr>
        <w:tabs>
          <w:tab w:val="num" w:pos="2160"/>
        </w:tabs>
        <w:ind w:left="2160" w:hanging="360"/>
      </w:pPr>
      <w:rPr>
        <w:rFonts w:ascii="Times New Roman" w:hAnsi="Times New Roman" w:hint="default"/>
      </w:rPr>
    </w:lvl>
    <w:lvl w:ilvl="3" w:tplc="C64261AC" w:tentative="1">
      <w:start w:val="1"/>
      <w:numFmt w:val="bullet"/>
      <w:lvlText w:val="•"/>
      <w:lvlJc w:val="left"/>
      <w:pPr>
        <w:tabs>
          <w:tab w:val="num" w:pos="2880"/>
        </w:tabs>
        <w:ind w:left="2880" w:hanging="360"/>
      </w:pPr>
      <w:rPr>
        <w:rFonts w:ascii="Times New Roman" w:hAnsi="Times New Roman" w:hint="default"/>
      </w:rPr>
    </w:lvl>
    <w:lvl w:ilvl="4" w:tplc="69EE2702" w:tentative="1">
      <w:start w:val="1"/>
      <w:numFmt w:val="bullet"/>
      <w:lvlText w:val="•"/>
      <w:lvlJc w:val="left"/>
      <w:pPr>
        <w:tabs>
          <w:tab w:val="num" w:pos="3600"/>
        </w:tabs>
        <w:ind w:left="3600" w:hanging="360"/>
      </w:pPr>
      <w:rPr>
        <w:rFonts w:ascii="Times New Roman" w:hAnsi="Times New Roman" w:hint="default"/>
      </w:rPr>
    </w:lvl>
    <w:lvl w:ilvl="5" w:tplc="0628B07C" w:tentative="1">
      <w:start w:val="1"/>
      <w:numFmt w:val="bullet"/>
      <w:lvlText w:val="•"/>
      <w:lvlJc w:val="left"/>
      <w:pPr>
        <w:tabs>
          <w:tab w:val="num" w:pos="4320"/>
        </w:tabs>
        <w:ind w:left="4320" w:hanging="360"/>
      </w:pPr>
      <w:rPr>
        <w:rFonts w:ascii="Times New Roman" w:hAnsi="Times New Roman" w:hint="default"/>
      </w:rPr>
    </w:lvl>
    <w:lvl w:ilvl="6" w:tplc="1BB0B380" w:tentative="1">
      <w:start w:val="1"/>
      <w:numFmt w:val="bullet"/>
      <w:lvlText w:val="•"/>
      <w:lvlJc w:val="left"/>
      <w:pPr>
        <w:tabs>
          <w:tab w:val="num" w:pos="5040"/>
        </w:tabs>
        <w:ind w:left="5040" w:hanging="360"/>
      </w:pPr>
      <w:rPr>
        <w:rFonts w:ascii="Times New Roman" w:hAnsi="Times New Roman" w:hint="default"/>
      </w:rPr>
    </w:lvl>
    <w:lvl w:ilvl="7" w:tplc="BD30656C" w:tentative="1">
      <w:start w:val="1"/>
      <w:numFmt w:val="bullet"/>
      <w:lvlText w:val="•"/>
      <w:lvlJc w:val="left"/>
      <w:pPr>
        <w:tabs>
          <w:tab w:val="num" w:pos="5760"/>
        </w:tabs>
        <w:ind w:left="5760" w:hanging="360"/>
      </w:pPr>
      <w:rPr>
        <w:rFonts w:ascii="Times New Roman" w:hAnsi="Times New Roman" w:hint="default"/>
      </w:rPr>
    </w:lvl>
    <w:lvl w:ilvl="8" w:tplc="76F044D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B6"/>
    <w:rsid w:val="00001555"/>
    <w:rsid w:val="000163B6"/>
    <w:rsid w:val="00017591"/>
    <w:rsid w:val="0003112A"/>
    <w:rsid w:val="0004674E"/>
    <w:rsid w:val="00065669"/>
    <w:rsid w:val="00071012"/>
    <w:rsid w:val="0008001D"/>
    <w:rsid w:val="00084DB2"/>
    <w:rsid w:val="000B6541"/>
    <w:rsid w:val="000C0A75"/>
    <w:rsid w:val="000C37DC"/>
    <w:rsid w:val="000C4F06"/>
    <w:rsid w:val="000C7C28"/>
    <w:rsid w:val="00102458"/>
    <w:rsid w:val="00102C0F"/>
    <w:rsid w:val="0011198A"/>
    <w:rsid w:val="00114888"/>
    <w:rsid w:val="00123B72"/>
    <w:rsid w:val="001579AE"/>
    <w:rsid w:val="0016685F"/>
    <w:rsid w:val="001774D9"/>
    <w:rsid w:val="00193EE3"/>
    <w:rsid w:val="0019512E"/>
    <w:rsid w:val="00196D7D"/>
    <w:rsid w:val="001B39EE"/>
    <w:rsid w:val="001D16AF"/>
    <w:rsid w:val="001E7F29"/>
    <w:rsid w:val="001F2C45"/>
    <w:rsid w:val="00203B04"/>
    <w:rsid w:val="0021362F"/>
    <w:rsid w:val="00214F9F"/>
    <w:rsid w:val="00234527"/>
    <w:rsid w:val="00242FB7"/>
    <w:rsid w:val="00247C40"/>
    <w:rsid w:val="00266881"/>
    <w:rsid w:val="0026744B"/>
    <w:rsid w:val="00270745"/>
    <w:rsid w:val="00271AF3"/>
    <w:rsid w:val="00274FC1"/>
    <w:rsid w:val="0028000E"/>
    <w:rsid w:val="00293A1F"/>
    <w:rsid w:val="00297024"/>
    <w:rsid w:val="002B1633"/>
    <w:rsid w:val="002B28F6"/>
    <w:rsid w:val="002B665A"/>
    <w:rsid w:val="002C3E29"/>
    <w:rsid w:val="002C40A5"/>
    <w:rsid w:val="002C6A95"/>
    <w:rsid w:val="002D3499"/>
    <w:rsid w:val="002D477B"/>
    <w:rsid w:val="002D4E2D"/>
    <w:rsid w:val="002D71D7"/>
    <w:rsid w:val="002E1A3A"/>
    <w:rsid w:val="002E5579"/>
    <w:rsid w:val="002F0B66"/>
    <w:rsid w:val="0033491F"/>
    <w:rsid w:val="00342AF8"/>
    <w:rsid w:val="00371D1B"/>
    <w:rsid w:val="003773AE"/>
    <w:rsid w:val="00380408"/>
    <w:rsid w:val="00386F65"/>
    <w:rsid w:val="00396DE7"/>
    <w:rsid w:val="003A6182"/>
    <w:rsid w:val="003A633B"/>
    <w:rsid w:val="003B41B0"/>
    <w:rsid w:val="003B65B0"/>
    <w:rsid w:val="003E0754"/>
    <w:rsid w:val="003F2D6F"/>
    <w:rsid w:val="004032DC"/>
    <w:rsid w:val="00407199"/>
    <w:rsid w:val="00407219"/>
    <w:rsid w:val="0040727A"/>
    <w:rsid w:val="00407505"/>
    <w:rsid w:val="00411DA6"/>
    <w:rsid w:val="00424A13"/>
    <w:rsid w:val="00434E16"/>
    <w:rsid w:val="00440E6B"/>
    <w:rsid w:val="00451738"/>
    <w:rsid w:val="004533F9"/>
    <w:rsid w:val="004751E4"/>
    <w:rsid w:val="0047692D"/>
    <w:rsid w:val="0048724D"/>
    <w:rsid w:val="00494EBD"/>
    <w:rsid w:val="004D6CF1"/>
    <w:rsid w:val="004E65AB"/>
    <w:rsid w:val="004E7C09"/>
    <w:rsid w:val="00527A0C"/>
    <w:rsid w:val="00535C78"/>
    <w:rsid w:val="00543087"/>
    <w:rsid w:val="005535A1"/>
    <w:rsid w:val="00554640"/>
    <w:rsid w:val="005638D4"/>
    <w:rsid w:val="00566927"/>
    <w:rsid w:val="00572D16"/>
    <w:rsid w:val="00576170"/>
    <w:rsid w:val="00584168"/>
    <w:rsid w:val="00594798"/>
    <w:rsid w:val="005A572E"/>
    <w:rsid w:val="005C2AC0"/>
    <w:rsid w:val="005C7CCB"/>
    <w:rsid w:val="005E4307"/>
    <w:rsid w:val="005E5946"/>
    <w:rsid w:val="005E7024"/>
    <w:rsid w:val="005F326A"/>
    <w:rsid w:val="00602C76"/>
    <w:rsid w:val="006114B9"/>
    <w:rsid w:val="0062637C"/>
    <w:rsid w:val="006427DE"/>
    <w:rsid w:val="00655B2D"/>
    <w:rsid w:val="0066130D"/>
    <w:rsid w:val="006658C7"/>
    <w:rsid w:val="00671BA6"/>
    <w:rsid w:val="006B20B3"/>
    <w:rsid w:val="006E5F53"/>
    <w:rsid w:val="006F4A8E"/>
    <w:rsid w:val="006F5637"/>
    <w:rsid w:val="007037BA"/>
    <w:rsid w:val="00761218"/>
    <w:rsid w:val="0076152F"/>
    <w:rsid w:val="007820A3"/>
    <w:rsid w:val="00793FE3"/>
    <w:rsid w:val="007A55EC"/>
    <w:rsid w:val="007C1BCD"/>
    <w:rsid w:val="007C1EB6"/>
    <w:rsid w:val="007D03F5"/>
    <w:rsid w:val="007D408E"/>
    <w:rsid w:val="007E014B"/>
    <w:rsid w:val="007E1257"/>
    <w:rsid w:val="007E5F85"/>
    <w:rsid w:val="008032B8"/>
    <w:rsid w:val="00822946"/>
    <w:rsid w:val="008328DF"/>
    <w:rsid w:val="00833A6C"/>
    <w:rsid w:val="008376A1"/>
    <w:rsid w:val="00843C24"/>
    <w:rsid w:val="00852290"/>
    <w:rsid w:val="00883E20"/>
    <w:rsid w:val="0088499E"/>
    <w:rsid w:val="00887FF2"/>
    <w:rsid w:val="00892479"/>
    <w:rsid w:val="008B2AB8"/>
    <w:rsid w:val="008D6591"/>
    <w:rsid w:val="008D75FD"/>
    <w:rsid w:val="008E598A"/>
    <w:rsid w:val="008F38EA"/>
    <w:rsid w:val="00907740"/>
    <w:rsid w:val="00914A8E"/>
    <w:rsid w:val="00927E20"/>
    <w:rsid w:val="0096373D"/>
    <w:rsid w:val="009712F1"/>
    <w:rsid w:val="00984863"/>
    <w:rsid w:val="009C5887"/>
    <w:rsid w:val="009E1F5C"/>
    <w:rsid w:val="009E5B99"/>
    <w:rsid w:val="009F2DEA"/>
    <w:rsid w:val="00A1320F"/>
    <w:rsid w:val="00A15599"/>
    <w:rsid w:val="00A21329"/>
    <w:rsid w:val="00A30A14"/>
    <w:rsid w:val="00A33477"/>
    <w:rsid w:val="00A35928"/>
    <w:rsid w:val="00A43E6E"/>
    <w:rsid w:val="00A44853"/>
    <w:rsid w:val="00A617D3"/>
    <w:rsid w:val="00A63451"/>
    <w:rsid w:val="00A72231"/>
    <w:rsid w:val="00A82812"/>
    <w:rsid w:val="00A96531"/>
    <w:rsid w:val="00AA0866"/>
    <w:rsid w:val="00AC5113"/>
    <w:rsid w:val="00AE66C1"/>
    <w:rsid w:val="00B02B96"/>
    <w:rsid w:val="00B16224"/>
    <w:rsid w:val="00B17D0E"/>
    <w:rsid w:val="00B23ABE"/>
    <w:rsid w:val="00B528D6"/>
    <w:rsid w:val="00B53E5C"/>
    <w:rsid w:val="00B62216"/>
    <w:rsid w:val="00B64675"/>
    <w:rsid w:val="00B806AB"/>
    <w:rsid w:val="00B81E0F"/>
    <w:rsid w:val="00BA11B7"/>
    <w:rsid w:val="00BA3BBE"/>
    <w:rsid w:val="00BA3CBB"/>
    <w:rsid w:val="00BB5247"/>
    <w:rsid w:val="00BD71DD"/>
    <w:rsid w:val="00BE15C3"/>
    <w:rsid w:val="00BE45C2"/>
    <w:rsid w:val="00BE6999"/>
    <w:rsid w:val="00BE7B2A"/>
    <w:rsid w:val="00BE7D05"/>
    <w:rsid w:val="00BF0B50"/>
    <w:rsid w:val="00C01BF8"/>
    <w:rsid w:val="00C03A50"/>
    <w:rsid w:val="00C042D7"/>
    <w:rsid w:val="00C0607F"/>
    <w:rsid w:val="00C2212A"/>
    <w:rsid w:val="00C2468A"/>
    <w:rsid w:val="00C34BCD"/>
    <w:rsid w:val="00C36919"/>
    <w:rsid w:val="00C56BF3"/>
    <w:rsid w:val="00C602A4"/>
    <w:rsid w:val="00C712E8"/>
    <w:rsid w:val="00C72911"/>
    <w:rsid w:val="00C73D39"/>
    <w:rsid w:val="00C8168E"/>
    <w:rsid w:val="00C92752"/>
    <w:rsid w:val="00C93E21"/>
    <w:rsid w:val="00CA43B6"/>
    <w:rsid w:val="00CD357A"/>
    <w:rsid w:val="00CD5520"/>
    <w:rsid w:val="00CE34E2"/>
    <w:rsid w:val="00CE5D73"/>
    <w:rsid w:val="00CF6BAA"/>
    <w:rsid w:val="00D03A71"/>
    <w:rsid w:val="00D07FCE"/>
    <w:rsid w:val="00D104CE"/>
    <w:rsid w:val="00D1348A"/>
    <w:rsid w:val="00D227FE"/>
    <w:rsid w:val="00D41AC4"/>
    <w:rsid w:val="00D55714"/>
    <w:rsid w:val="00D6409A"/>
    <w:rsid w:val="00D640DA"/>
    <w:rsid w:val="00D8160F"/>
    <w:rsid w:val="00D82E83"/>
    <w:rsid w:val="00D85E00"/>
    <w:rsid w:val="00D86004"/>
    <w:rsid w:val="00DA012F"/>
    <w:rsid w:val="00DB2F65"/>
    <w:rsid w:val="00DC0742"/>
    <w:rsid w:val="00DD60FB"/>
    <w:rsid w:val="00DE155E"/>
    <w:rsid w:val="00DE656F"/>
    <w:rsid w:val="00DE6847"/>
    <w:rsid w:val="00DF12A2"/>
    <w:rsid w:val="00E02297"/>
    <w:rsid w:val="00E05244"/>
    <w:rsid w:val="00E23E6F"/>
    <w:rsid w:val="00E249A5"/>
    <w:rsid w:val="00E27F5E"/>
    <w:rsid w:val="00E51971"/>
    <w:rsid w:val="00E5233F"/>
    <w:rsid w:val="00E534D9"/>
    <w:rsid w:val="00E749E0"/>
    <w:rsid w:val="00E75EBE"/>
    <w:rsid w:val="00E93CA8"/>
    <w:rsid w:val="00EB69FB"/>
    <w:rsid w:val="00EB735C"/>
    <w:rsid w:val="00EC2BD2"/>
    <w:rsid w:val="00EC61AE"/>
    <w:rsid w:val="00ED13E0"/>
    <w:rsid w:val="00ED32BC"/>
    <w:rsid w:val="00ED5E0C"/>
    <w:rsid w:val="00EE7D79"/>
    <w:rsid w:val="00EF0A58"/>
    <w:rsid w:val="00EF2D26"/>
    <w:rsid w:val="00EF480F"/>
    <w:rsid w:val="00EF62A4"/>
    <w:rsid w:val="00F010A4"/>
    <w:rsid w:val="00F22D42"/>
    <w:rsid w:val="00F24F8C"/>
    <w:rsid w:val="00F25340"/>
    <w:rsid w:val="00F4227C"/>
    <w:rsid w:val="00F535F5"/>
    <w:rsid w:val="00F6192B"/>
    <w:rsid w:val="00F652A1"/>
    <w:rsid w:val="00F66B67"/>
    <w:rsid w:val="00FA0CB7"/>
    <w:rsid w:val="00FB28A0"/>
    <w:rsid w:val="00FB4161"/>
    <w:rsid w:val="00FB5271"/>
    <w:rsid w:val="00FD2704"/>
    <w:rsid w:val="00FD56D5"/>
    <w:rsid w:val="00FE1017"/>
    <w:rsid w:val="00FF63A5"/>
  </w:rsids>
  <m:mathPr>
    <m:mathFont m:val="Cambria Math"/>
    <m:brkBin m:val="before"/>
    <m:brkBinSub m:val="--"/>
    <m:smallFrac m:val="0"/>
    <m:dispDef/>
    <m:lMargin m:val="0"/>
    <m:rMargin m:val="0"/>
    <m:defJc m:val="centerGroup"/>
    <m:wrapIndent m:val="1440"/>
    <m:intLim m:val="subSup"/>
    <m:naryLim m:val="undOvr"/>
  </m:mathPr>
  <w:themeFontLang w:val="ru-RU"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F5637"/>
    <w:pPr>
      <w:spacing w:after="120" w:line="300" w:lineRule="auto"/>
      <w:ind w:firstLine="567"/>
      <w:jc w:val="both"/>
    </w:pPr>
    <w:rPr>
      <w:rFonts w:ascii="Arial" w:eastAsia="Times New Roman" w:hAnsi="Arial" w:cs="Times New Roman"/>
      <w:szCs w:val="20"/>
      <w:lang w:eastAsia="ru-RU"/>
    </w:rPr>
  </w:style>
  <w:style w:type="character" w:customStyle="1" w:styleId="a4">
    <w:name w:val="Основной текст с отступом Знак"/>
    <w:basedOn w:val="a0"/>
    <w:link w:val="a3"/>
    <w:rsid w:val="006F5637"/>
    <w:rPr>
      <w:rFonts w:ascii="Arial" w:eastAsia="Times New Roman" w:hAnsi="Arial" w:cs="Times New Roman"/>
      <w:szCs w:val="20"/>
      <w:lang w:eastAsia="ru-RU"/>
    </w:rPr>
  </w:style>
  <w:style w:type="paragraph" w:customStyle="1" w:styleId="22">
    <w:name w:val="Основной текст 22"/>
    <w:basedOn w:val="a"/>
    <w:uiPriority w:val="99"/>
    <w:rsid w:val="006F5637"/>
    <w:pPr>
      <w:overflowPunct w:val="0"/>
      <w:autoSpaceDE w:val="0"/>
      <w:autoSpaceDN w:val="0"/>
      <w:adjustRightInd w:val="0"/>
      <w:spacing w:after="0" w:line="240" w:lineRule="auto"/>
    </w:pPr>
    <w:rPr>
      <w:rFonts w:ascii="Arial" w:eastAsia="Times New Roman" w:hAnsi="Arial" w:cs="Times New Roman"/>
      <w:sz w:val="24"/>
      <w:szCs w:val="20"/>
      <w:lang w:eastAsia="ru-RU"/>
    </w:rPr>
  </w:style>
  <w:style w:type="table" w:styleId="a5">
    <w:name w:val="Table Grid"/>
    <w:basedOn w:val="a1"/>
    <w:uiPriority w:val="39"/>
    <w:rsid w:val="00AA0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E15C3"/>
    <w:pPr>
      <w:ind w:left="720"/>
      <w:contextualSpacing/>
    </w:pPr>
  </w:style>
  <w:style w:type="paragraph" w:styleId="a7">
    <w:name w:val="Balloon Text"/>
    <w:basedOn w:val="a"/>
    <w:link w:val="a8"/>
    <w:uiPriority w:val="99"/>
    <w:semiHidden/>
    <w:unhideWhenUsed/>
    <w:rsid w:val="002136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362F"/>
    <w:rPr>
      <w:rFonts w:ascii="Segoe UI" w:hAnsi="Segoe UI" w:cs="Segoe UI"/>
      <w:sz w:val="18"/>
      <w:szCs w:val="18"/>
    </w:rPr>
  </w:style>
  <w:style w:type="character" w:customStyle="1" w:styleId="a9">
    <w:name w:val="a"/>
    <w:rsid w:val="00914A8E"/>
    <w:rPr>
      <w:color w:val="333399"/>
      <w:u w:val="single"/>
    </w:rPr>
  </w:style>
  <w:style w:type="paragraph" w:styleId="aa">
    <w:name w:val="footnote text"/>
    <w:basedOn w:val="a"/>
    <w:link w:val="ab"/>
    <w:uiPriority w:val="99"/>
    <w:rsid w:val="00914A8E"/>
    <w:pPr>
      <w:spacing w:after="0" w:line="240" w:lineRule="auto"/>
    </w:pPr>
    <w:rPr>
      <w:rFonts w:ascii="Arial" w:eastAsia="Times New Roman" w:hAnsi="Arial" w:cs="Times New Roman"/>
      <w:sz w:val="20"/>
      <w:szCs w:val="20"/>
      <w:lang w:eastAsia="ru-RU"/>
    </w:rPr>
  </w:style>
  <w:style w:type="character" w:customStyle="1" w:styleId="ab">
    <w:name w:val="Текст сноски Знак"/>
    <w:basedOn w:val="a0"/>
    <w:link w:val="aa"/>
    <w:uiPriority w:val="99"/>
    <w:rsid w:val="00914A8E"/>
    <w:rPr>
      <w:rFonts w:ascii="Arial" w:eastAsia="Times New Roman" w:hAnsi="Arial" w:cs="Times New Roman"/>
      <w:sz w:val="20"/>
      <w:szCs w:val="20"/>
      <w:lang w:eastAsia="ru-RU"/>
    </w:rPr>
  </w:style>
  <w:style w:type="character" w:styleId="ac">
    <w:name w:val="footnote reference"/>
    <w:basedOn w:val="a0"/>
    <w:uiPriority w:val="99"/>
    <w:rsid w:val="00914A8E"/>
    <w:rPr>
      <w:vertAlign w:val="superscript"/>
    </w:rPr>
  </w:style>
  <w:style w:type="paragraph" w:customStyle="1" w:styleId="pc">
    <w:name w:val="pc"/>
    <w:basedOn w:val="a"/>
    <w:rsid w:val="00C73D39"/>
    <w:pPr>
      <w:spacing w:after="0" w:line="240" w:lineRule="auto"/>
      <w:jc w:val="center"/>
    </w:pPr>
    <w:rPr>
      <w:rFonts w:ascii="Times New Roman" w:eastAsia="Times New Roman" w:hAnsi="Times New Roman" w:cs="Times New Roman"/>
      <w:color w:val="000000"/>
      <w:sz w:val="24"/>
      <w:szCs w:val="24"/>
      <w:lang w:eastAsia="ru-RU"/>
    </w:rPr>
  </w:style>
  <w:style w:type="character" w:styleId="ad">
    <w:name w:val="annotation reference"/>
    <w:basedOn w:val="a0"/>
    <w:uiPriority w:val="99"/>
    <w:semiHidden/>
    <w:unhideWhenUsed/>
    <w:rsid w:val="002C40A5"/>
    <w:rPr>
      <w:sz w:val="16"/>
      <w:szCs w:val="16"/>
    </w:rPr>
  </w:style>
  <w:style w:type="paragraph" w:styleId="ae">
    <w:name w:val="annotation text"/>
    <w:basedOn w:val="a"/>
    <w:link w:val="af"/>
    <w:uiPriority w:val="99"/>
    <w:semiHidden/>
    <w:unhideWhenUsed/>
    <w:rsid w:val="002C40A5"/>
    <w:pPr>
      <w:spacing w:line="240" w:lineRule="auto"/>
    </w:pPr>
    <w:rPr>
      <w:sz w:val="20"/>
      <w:szCs w:val="20"/>
    </w:rPr>
  </w:style>
  <w:style w:type="character" w:customStyle="1" w:styleId="af">
    <w:name w:val="Текст примечания Знак"/>
    <w:basedOn w:val="a0"/>
    <w:link w:val="ae"/>
    <w:uiPriority w:val="99"/>
    <w:semiHidden/>
    <w:rsid w:val="002C40A5"/>
    <w:rPr>
      <w:sz w:val="20"/>
      <w:szCs w:val="20"/>
    </w:rPr>
  </w:style>
  <w:style w:type="character" w:customStyle="1" w:styleId="s3">
    <w:name w:val="s3"/>
    <w:basedOn w:val="a0"/>
    <w:rsid w:val="00193EE3"/>
    <w:rPr>
      <w:rFonts w:ascii="Times New Roman" w:hAnsi="Times New Roman" w:cs="Times New Roman" w:hint="default"/>
      <w:b w:val="0"/>
      <w:bCs w:val="0"/>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F5637"/>
    <w:pPr>
      <w:spacing w:after="120" w:line="300" w:lineRule="auto"/>
      <w:ind w:firstLine="567"/>
      <w:jc w:val="both"/>
    </w:pPr>
    <w:rPr>
      <w:rFonts w:ascii="Arial" w:eastAsia="Times New Roman" w:hAnsi="Arial" w:cs="Times New Roman"/>
      <w:szCs w:val="20"/>
      <w:lang w:eastAsia="ru-RU"/>
    </w:rPr>
  </w:style>
  <w:style w:type="character" w:customStyle="1" w:styleId="a4">
    <w:name w:val="Основной текст с отступом Знак"/>
    <w:basedOn w:val="a0"/>
    <w:link w:val="a3"/>
    <w:rsid w:val="006F5637"/>
    <w:rPr>
      <w:rFonts w:ascii="Arial" w:eastAsia="Times New Roman" w:hAnsi="Arial" w:cs="Times New Roman"/>
      <w:szCs w:val="20"/>
      <w:lang w:eastAsia="ru-RU"/>
    </w:rPr>
  </w:style>
  <w:style w:type="paragraph" w:customStyle="1" w:styleId="22">
    <w:name w:val="Основной текст 22"/>
    <w:basedOn w:val="a"/>
    <w:uiPriority w:val="99"/>
    <w:rsid w:val="006F5637"/>
    <w:pPr>
      <w:overflowPunct w:val="0"/>
      <w:autoSpaceDE w:val="0"/>
      <w:autoSpaceDN w:val="0"/>
      <w:adjustRightInd w:val="0"/>
      <w:spacing w:after="0" w:line="240" w:lineRule="auto"/>
    </w:pPr>
    <w:rPr>
      <w:rFonts w:ascii="Arial" w:eastAsia="Times New Roman" w:hAnsi="Arial" w:cs="Times New Roman"/>
      <w:sz w:val="24"/>
      <w:szCs w:val="20"/>
      <w:lang w:eastAsia="ru-RU"/>
    </w:rPr>
  </w:style>
  <w:style w:type="table" w:styleId="a5">
    <w:name w:val="Table Grid"/>
    <w:basedOn w:val="a1"/>
    <w:uiPriority w:val="39"/>
    <w:rsid w:val="00AA0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E15C3"/>
    <w:pPr>
      <w:ind w:left="720"/>
      <w:contextualSpacing/>
    </w:pPr>
  </w:style>
  <w:style w:type="paragraph" w:styleId="a7">
    <w:name w:val="Balloon Text"/>
    <w:basedOn w:val="a"/>
    <w:link w:val="a8"/>
    <w:uiPriority w:val="99"/>
    <w:semiHidden/>
    <w:unhideWhenUsed/>
    <w:rsid w:val="002136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362F"/>
    <w:rPr>
      <w:rFonts w:ascii="Segoe UI" w:hAnsi="Segoe UI" w:cs="Segoe UI"/>
      <w:sz w:val="18"/>
      <w:szCs w:val="18"/>
    </w:rPr>
  </w:style>
  <w:style w:type="character" w:customStyle="1" w:styleId="a9">
    <w:name w:val="a"/>
    <w:rsid w:val="00914A8E"/>
    <w:rPr>
      <w:color w:val="333399"/>
      <w:u w:val="single"/>
    </w:rPr>
  </w:style>
  <w:style w:type="paragraph" w:styleId="aa">
    <w:name w:val="footnote text"/>
    <w:basedOn w:val="a"/>
    <w:link w:val="ab"/>
    <w:uiPriority w:val="99"/>
    <w:rsid w:val="00914A8E"/>
    <w:pPr>
      <w:spacing w:after="0" w:line="240" w:lineRule="auto"/>
    </w:pPr>
    <w:rPr>
      <w:rFonts w:ascii="Arial" w:eastAsia="Times New Roman" w:hAnsi="Arial" w:cs="Times New Roman"/>
      <w:sz w:val="20"/>
      <w:szCs w:val="20"/>
      <w:lang w:eastAsia="ru-RU"/>
    </w:rPr>
  </w:style>
  <w:style w:type="character" w:customStyle="1" w:styleId="ab">
    <w:name w:val="Текст сноски Знак"/>
    <w:basedOn w:val="a0"/>
    <w:link w:val="aa"/>
    <w:uiPriority w:val="99"/>
    <w:rsid w:val="00914A8E"/>
    <w:rPr>
      <w:rFonts w:ascii="Arial" w:eastAsia="Times New Roman" w:hAnsi="Arial" w:cs="Times New Roman"/>
      <w:sz w:val="20"/>
      <w:szCs w:val="20"/>
      <w:lang w:eastAsia="ru-RU"/>
    </w:rPr>
  </w:style>
  <w:style w:type="character" w:styleId="ac">
    <w:name w:val="footnote reference"/>
    <w:basedOn w:val="a0"/>
    <w:uiPriority w:val="99"/>
    <w:rsid w:val="00914A8E"/>
    <w:rPr>
      <w:vertAlign w:val="superscript"/>
    </w:rPr>
  </w:style>
  <w:style w:type="paragraph" w:customStyle="1" w:styleId="pc">
    <w:name w:val="pc"/>
    <w:basedOn w:val="a"/>
    <w:rsid w:val="00C73D39"/>
    <w:pPr>
      <w:spacing w:after="0" w:line="240" w:lineRule="auto"/>
      <w:jc w:val="center"/>
    </w:pPr>
    <w:rPr>
      <w:rFonts w:ascii="Times New Roman" w:eastAsia="Times New Roman" w:hAnsi="Times New Roman" w:cs="Times New Roman"/>
      <w:color w:val="000000"/>
      <w:sz w:val="24"/>
      <w:szCs w:val="24"/>
      <w:lang w:eastAsia="ru-RU"/>
    </w:rPr>
  </w:style>
  <w:style w:type="character" w:styleId="ad">
    <w:name w:val="annotation reference"/>
    <w:basedOn w:val="a0"/>
    <w:uiPriority w:val="99"/>
    <w:semiHidden/>
    <w:unhideWhenUsed/>
    <w:rsid w:val="002C40A5"/>
    <w:rPr>
      <w:sz w:val="16"/>
      <w:szCs w:val="16"/>
    </w:rPr>
  </w:style>
  <w:style w:type="paragraph" w:styleId="ae">
    <w:name w:val="annotation text"/>
    <w:basedOn w:val="a"/>
    <w:link w:val="af"/>
    <w:uiPriority w:val="99"/>
    <w:semiHidden/>
    <w:unhideWhenUsed/>
    <w:rsid w:val="002C40A5"/>
    <w:pPr>
      <w:spacing w:line="240" w:lineRule="auto"/>
    </w:pPr>
    <w:rPr>
      <w:sz w:val="20"/>
      <w:szCs w:val="20"/>
    </w:rPr>
  </w:style>
  <w:style w:type="character" w:customStyle="1" w:styleId="af">
    <w:name w:val="Текст примечания Знак"/>
    <w:basedOn w:val="a0"/>
    <w:link w:val="ae"/>
    <w:uiPriority w:val="99"/>
    <w:semiHidden/>
    <w:rsid w:val="002C40A5"/>
    <w:rPr>
      <w:sz w:val="20"/>
      <w:szCs w:val="20"/>
    </w:rPr>
  </w:style>
  <w:style w:type="character" w:customStyle="1" w:styleId="s3">
    <w:name w:val="s3"/>
    <w:basedOn w:val="a0"/>
    <w:rsid w:val="00193EE3"/>
    <w:rPr>
      <w:rFonts w:ascii="Times New Roman" w:hAnsi="Times New Roman" w:cs="Times New Roman" w:hint="default"/>
      <w:b w:val="0"/>
      <w:bCs w:val="0"/>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3857">
      <w:bodyDiv w:val="1"/>
      <w:marLeft w:val="0"/>
      <w:marRight w:val="0"/>
      <w:marTop w:val="0"/>
      <w:marBottom w:val="0"/>
      <w:divBdr>
        <w:top w:val="none" w:sz="0" w:space="0" w:color="auto"/>
        <w:left w:val="none" w:sz="0" w:space="0" w:color="auto"/>
        <w:bottom w:val="none" w:sz="0" w:space="0" w:color="auto"/>
        <w:right w:val="none" w:sz="0" w:space="0" w:color="auto"/>
      </w:divBdr>
      <w:divsChild>
        <w:div w:id="882792604">
          <w:marLeft w:val="547"/>
          <w:marRight w:val="0"/>
          <w:marTop w:val="0"/>
          <w:marBottom w:val="0"/>
          <w:divBdr>
            <w:top w:val="none" w:sz="0" w:space="0" w:color="auto"/>
            <w:left w:val="none" w:sz="0" w:space="0" w:color="auto"/>
            <w:bottom w:val="none" w:sz="0" w:space="0" w:color="auto"/>
            <w:right w:val="none" w:sz="0" w:space="0" w:color="auto"/>
          </w:divBdr>
        </w:div>
      </w:divsChild>
    </w:div>
    <w:div w:id="115876486">
      <w:bodyDiv w:val="1"/>
      <w:marLeft w:val="0"/>
      <w:marRight w:val="0"/>
      <w:marTop w:val="0"/>
      <w:marBottom w:val="0"/>
      <w:divBdr>
        <w:top w:val="none" w:sz="0" w:space="0" w:color="auto"/>
        <w:left w:val="none" w:sz="0" w:space="0" w:color="auto"/>
        <w:bottom w:val="none" w:sz="0" w:space="0" w:color="auto"/>
        <w:right w:val="none" w:sz="0" w:space="0" w:color="auto"/>
      </w:divBdr>
      <w:divsChild>
        <w:div w:id="1017275696">
          <w:marLeft w:val="547"/>
          <w:marRight w:val="0"/>
          <w:marTop w:val="0"/>
          <w:marBottom w:val="0"/>
          <w:divBdr>
            <w:top w:val="none" w:sz="0" w:space="0" w:color="auto"/>
            <w:left w:val="none" w:sz="0" w:space="0" w:color="auto"/>
            <w:bottom w:val="none" w:sz="0" w:space="0" w:color="auto"/>
            <w:right w:val="none" w:sz="0" w:space="0" w:color="auto"/>
          </w:divBdr>
        </w:div>
      </w:divsChild>
    </w:div>
    <w:div w:id="125972758">
      <w:bodyDiv w:val="1"/>
      <w:marLeft w:val="0"/>
      <w:marRight w:val="0"/>
      <w:marTop w:val="0"/>
      <w:marBottom w:val="0"/>
      <w:divBdr>
        <w:top w:val="none" w:sz="0" w:space="0" w:color="auto"/>
        <w:left w:val="none" w:sz="0" w:space="0" w:color="auto"/>
        <w:bottom w:val="none" w:sz="0" w:space="0" w:color="auto"/>
        <w:right w:val="none" w:sz="0" w:space="0" w:color="auto"/>
      </w:divBdr>
      <w:divsChild>
        <w:div w:id="1915893914">
          <w:marLeft w:val="547"/>
          <w:marRight w:val="0"/>
          <w:marTop w:val="0"/>
          <w:marBottom w:val="0"/>
          <w:divBdr>
            <w:top w:val="none" w:sz="0" w:space="0" w:color="auto"/>
            <w:left w:val="none" w:sz="0" w:space="0" w:color="auto"/>
            <w:bottom w:val="none" w:sz="0" w:space="0" w:color="auto"/>
            <w:right w:val="none" w:sz="0" w:space="0" w:color="auto"/>
          </w:divBdr>
        </w:div>
      </w:divsChild>
    </w:div>
    <w:div w:id="1141265459">
      <w:bodyDiv w:val="1"/>
      <w:marLeft w:val="0"/>
      <w:marRight w:val="0"/>
      <w:marTop w:val="0"/>
      <w:marBottom w:val="0"/>
      <w:divBdr>
        <w:top w:val="none" w:sz="0" w:space="0" w:color="auto"/>
        <w:left w:val="none" w:sz="0" w:space="0" w:color="auto"/>
        <w:bottom w:val="none" w:sz="0" w:space="0" w:color="auto"/>
        <w:right w:val="none" w:sz="0" w:space="0" w:color="auto"/>
      </w:divBdr>
    </w:div>
    <w:div w:id="1325401596">
      <w:bodyDiv w:val="1"/>
      <w:marLeft w:val="0"/>
      <w:marRight w:val="0"/>
      <w:marTop w:val="0"/>
      <w:marBottom w:val="0"/>
      <w:divBdr>
        <w:top w:val="none" w:sz="0" w:space="0" w:color="auto"/>
        <w:left w:val="none" w:sz="0" w:space="0" w:color="auto"/>
        <w:bottom w:val="none" w:sz="0" w:space="0" w:color="auto"/>
        <w:right w:val="none" w:sz="0" w:space="0" w:color="auto"/>
      </w:divBdr>
    </w:div>
    <w:div w:id="1564370085">
      <w:bodyDiv w:val="1"/>
      <w:marLeft w:val="0"/>
      <w:marRight w:val="0"/>
      <w:marTop w:val="0"/>
      <w:marBottom w:val="0"/>
      <w:divBdr>
        <w:top w:val="none" w:sz="0" w:space="0" w:color="auto"/>
        <w:left w:val="none" w:sz="0" w:space="0" w:color="auto"/>
        <w:bottom w:val="none" w:sz="0" w:space="0" w:color="auto"/>
        <w:right w:val="none" w:sz="0" w:space="0" w:color="auto"/>
      </w:divBdr>
      <w:divsChild>
        <w:div w:id="271324694">
          <w:marLeft w:val="547"/>
          <w:marRight w:val="0"/>
          <w:marTop w:val="0"/>
          <w:marBottom w:val="0"/>
          <w:divBdr>
            <w:top w:val="none" w:sz="0" w:space="0" w:color="auto"/>
            <w:left w:val="none" w:sz="0" w:space="0" w:color="auto"/>
            <w:bottom w:val="none" w:sz="0" w:space="0" w:color="auto"/>
            <w:right w:val="none" w:sz="0" w:space="0" w:color="auto"/>
          </w:divBdr>
        </w:div>
      </w:divsChild>
    </w:div>
    <w:div w:id="2047214508">
      <w:bodyDiv w:val="1"/>
      <w:marLeft w:val="0"/>
      <w:marRight w:val="0"/>
      <w:marTop w:val="0"/>
      <w:marBottom w:val="0"/>
      <w:divBdr>
        <w:top w:val="none" w:sz="0" w:space="0" w:color="auto"/>
        <w:left w:val="none" w:sz="0" w:space="0" w:color="auto"/>
        <w:bottom w:val="none" w:sz="0" w:space="0" w:color="auto"/>
        <w:right w:val="none" w:sz="0" w:space="0" w:color="auto"/>
      </w:divBdr>
      <w:divsChild>
        <w:div w:id="1608850867">
          <w:marLeft w:val="547"/>
          <w:marRight w:val="0"/>
          <w:marTop w:val="0"/>
          <w:marBottom w:val="0"/>
          <w:divBdr>
            <w:top w:val="none" w:sz="0" w:space="0" w:color="auto"/>
            <w:left w:val="none" w:sz="0" w:space="0" w:color="auto"/>
            <w:bottom w:val="none" w:sz="0" w:space="0" w:color="auto"/>
            <w:right w:val="none" w:sz="0" w:space="0" w:color="auto"/>
          </w:divBdr>
        </w:div>
      </w:divsChild>
    </w:div>
    <w:div w:id="20833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6BE3B-6BD8-4540-AB08-85CD6F1A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2387</Words>
  <Characters>16142</Characters>
  <Application>Microsoft Office Word</Application>
  <DocSecurity>0</DocSecurity>
  <Lines>896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Маржан Закировна Халмурзаева</dc:creator>
  <cp:keywords/>
  <dc:description/>
  <cp:lastModifiedBy>User</cp:lastModifiedBy>
  <cp:revision>27</cp:revision>
  <cp:lastPrinted>2023-11-22T06:12:00Z</cp:lastPrinted>
  <dcterms:created xsi:type="dcterms:W3CDTF">2023-11-30T09:13:00Z</dcterms:created>
  <dcterms:modified xsi:type="dcterms:W3CDTF">2026-01-18T16:39:00Z</dcterms:modified>
</cp:coreProperties>
</file>